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rPr>
        <w:t>1</w:t>
      </w:r>
      <w:r>
        <w:rPr>
          <w:rFonts w:hint="eastAsia" w:ascii="仿宋" w:hAnsi="仿宋" w:eastAsia="仿宋"/>
          <w:spacing w:val="-20"/>
          <w:sz w:val="32"/>
          <w:szCs w:val="32"/>
          <w:lang w:val="en-US" w:eastAsia="zh-CN"/>
        </w:rPr>
        <w:t>5</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关于印发《生命科学学院名誉教授、名誉副教授聘用与管理办法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《生命科学学院名誉教授、名誉副教授聘用与管理办法</w:t>
      </w:r>
      <w:r>
        <w:rPr>
          <w:rFonts w:hint="eastAsia" w:ascii="仿宋_GB2312" w:hAnsi="仿宋" w:eastAsia="仿宋_GB2312" w:cs="仿宋"/>
          <w:sz w:val="32"/>
          <w:szCs w:val="32"/>
        </w:rPr>
        <w:t>》已经院党政联席会议讨论通过，现印发给你们，请认真贯彻落实。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附件：生命科学学院名誉教授、名誉副教授聘用与管理办法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 w:eastAsia="仿宋_GB2312" w:cs="仿宋"/>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人力资源部</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autoSpaceDE w:val="0"/>
        <w:autoSpaceDN w:val="0"/>
        <w:spacing w:line="360" w:lineRule="auto"/>
        <w:jc w:val="center"/>
        <w:rPr>
          <w:rFonts w:hint="eastAsia" w:cs="Times New Roman" w:asciiTheme="majorEastAsia" w:hAnsiTheme="majorEastAsia" w:eastAsiaTheme="majorEastAsia"/>
          <w:bCs/>
          <w:color w:val="000000"/>
          <w:kern w:val="0"/>
          <w:sz w:val="36"/>
          <w:szCs w:val="36"/>
        </w:rPr>
      </w:pPr>
    </w:p>
    <w:p>
      <w:pPr>
        <w:autoSpaceDE w:val="0"/>
        <w:autoSpaceDN w:val="0"/>
        <w:spacing w:line="360" w:lineRule="auto"/>
        <w:jc w:val="left"/>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名誉教授、名誉副教授聘用与管理办法</w:t>
      </w:r>
    </w:p>
    <w:p>
      <w:pPr>
        <w:spacing w:line="360" w:lineRule="auto"/>
        <w:jc w:val="center"/>
        <w:rPr>
          <w:rFonts w:ascii="宋体" w:hAnsi="宋体" w:eastAsia="宋体" w:cs="宋体"/>
          <w:color w:val="000000"/>
          <w:kern w:val="0"/>
          <w:sz w:val="36"/>
          <w:szCs w:val="36"/>
        </w:rPr>
      </w:pP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第一条</w:t>
      </w:r>
      <w:r>
        <w:rPr>
          <w:rFonts w:ascii="仿宋" w:hAnsi="仿宋" w:eastAsia="仿宋" w:cs="Times New Roman"/>
          <w:sz w:val="32"/>
          <w:szCs w:val="32"/>
        </w:rPr>
        <w:t xml:space="preserve">  </w:t>
      </w:r>
      <w:r>
        <w:rPr>
          <w:rFonts w:hint="eastAsia" w:ascii="仿宋" w:hAnsi="仿宋" w:eastAsia="仿宋" w:cs="Times New Roman"/>
          <w:sz w:val="32"/>
          <w:szCs w:val="32"/>
        </w:rPr>
        <w:t>为进一步加强师资队伍建设，充分发挥校外杰出人才、优秀专家学者在提升学院高质量发展中的积极作用，促进校内外合作与交流，规范校外专家的聘任与管理，结合学院实际，制定本办法。</w:t>
      </w: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第二条</w:t>
      </w:r>
      <w:r>
        <w:rPr>
          <w:rFonts w:ascii="仿宋" w:hAnsi="仿宋" w:eastAsia="仿宋" w:cs="Times New Roman"/>
          <w:sz w:val="32"/>
          <w:szCs w:val="32"/>
        </w:rPr>
        <w:t xml:space="preserve">  </w:t>
      </w:r>
      <w:r>
        <w:rPr>
          <w:rFonts w:hint="eastAsia" w:ascii="仿宋" w:hAnsi="仿宋" w:eastAsia="仿宋" w:cs="Times New Roman"/>
          <w:sz w:val="32"/>
          <w:szCs w:val="32"/>
        </w:rPr>
        <w:t>在报请学校党委审批、同意后，依据学科发展需要及专家的学术地位、承担的工作任务等，在相应学科分别设置名誉教授岗位、名誉副教授岗位。</w:t>
      </w: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第三条</w:t>
      </w:r>
      <w:r>
        <w:rPr>
          <w:rFonts w:ascii="仿宋" w:hAnsi="仿宋" w:eastAsia="仿宋" w:cs="Times New Roman"/>
          <w:sz w:val="32"/>
          <w:szCs w:val="32"/>
        </w:rPr>
        <w:t xml:space="preserve">  </w:t>
      </w:r>
      <w:r>
        <w:rPr>
          <w:rFonts w:hint="eastAsia" w:ascii="仿宋" w:hAnsi="仿宋" w:eastAsia="仿宋" w:cs="Times New Roman"/>
          <w:sz w:val="32"/>
          <w:szCs w:val="32"/>
        </w:rPr>
        <w:t>名誉教授、副教授为终身荣誉。</w:t>
      </w: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第四条</w:t>
      </w:r>
      <w:r>
        <w:rPr>
          <w:rFonts w:ascii="仿宋" w:hAnsi="仿宋" w:eastAsia="仿宋" w:cs="Times New Roman"/>
          <w:sz w:val="32"/>
          <w:szCs w:val="32"/>
        </w:rPr>
        <w:t xml:space="preserve">  </w:t>
      </w:r>
      <w:r>
        <w:rPr>
          <w:rFonts w:hint="eastAsia" w:ascii="仿宋" w:hAnsi="仿宋" w:eastAsia="仿宋" w:cs="Times New Roman"/>
          <w:sz w:val="32"/>
          <w:szCs w:val="32"/>
        </w:rPr>
        <w:t>聘任条件</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（一）坚持科学精神，恪守职业道德，为人师表，身体健康，遵纪守法。</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（二）名誉教授。一般应为两院院士、发达国家科学院或工程院院士、诺贝尔奖获得者、国家重大人才计划A类、B类入选者、 教育部“长江学者奖励计划”入选者、国家自然科学基金委杰出青年基金、优秀青年基金获得者，或在某一学科领域取得国际学术界公认的重大成果，学术造诣深厚、知名度高的著名专家学者。</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三）名誉副教授。具有副高级专业技术职称，是某一学科或研究领域的国内外著名专家，一般应为国家自然科学基金获得者，以及社会科学等人文领域具有与此相当学术地位和成就的高层次人才。海内外具有与此相当学术地位和成就的知名学者、为学校发展建设做出重大贡献的杰出校友可纳入名誉副教授管理。</w:t>
      </w: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第五条</w:t>
      </w:r>
      <w:r>
        <w:rPr>
          <w:rFonts w:ascii="仿宋" w:hAnsi="仿宋" w:eastAsia="仿宋" w:cs="Times New Roman"/>
          <w:sz w:val="32"/>
          <w:szCs w:val="32"/>
        </w:rPr>
        <w:t xml:space="preserve">  </w:t>
      </w:r>
      <w:r>
        <w:rPr>
          <w:rFonts w:hint="eastAsia" w:ascii="仿宋" w:hAnsi="仿宋" w:eastAsia="仿宋" w:cs="Times New Roman"/>
          <w:sz w:val="32"/>
          <w:szCs w:val="32"/>
        </w:rPr>
        <w:t>工作职责</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（一）学院有权借助受聘校外专家的合作关系和身份，对学校、学院进行适当地宣传和推广。</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名誉教授主要为学校发展提供顾问咨询和社会资源，向学院推荐高层次人才，支持学院的人才引进与培养工作，为学院的学科专业建设、教学科研工作提供指导与支持；开展专题讲座或学术报告，介绍相关学术成果与前沿动态，学院对外交流、国际合作、服务社会等。</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三）名誉副教授主要为学院指导组建学术（科研）创新团队、凝练发展方向、指导开展重大理论与实践问题研究和关键科学领域攻关，开展合作研究和成果转化推广，担任导师，来校开展专题讲座或学术报告等。</w:t>
      </w:r>
    </w:p>
    <w:p>
      <w:pPr>
        <w:spacing w:line="360" w:lineRule="auto"/>
        <w:ind w:firstLine="643" w:firstLineChars="200"/>
        <w:rPr>
          <w:rFonts w:ascii="仿宋" w:hAnsi="仿宋" w:eastAsia="仿宋" w:cs="Times New Roman"/>
          <w:sz w:val="32"/>
          <w:szCs w:val="32"/>
        </w:rPr>
      </w:pPr>
      <w:bookmarkStart w:id="0" w:name="_Hlk155085688"/>
      <w:r>
        <w:rPr>
          <w:rFonts w:hint="eastAsia" w:ascii="仿宋" w:hAnsi="仿宋" w:eastAsia="仿宋" w:cs="Times New Roman"/>
          <w:b/>
          <w:bCs/>
          <w:sz w:val="32"/>
          <w:szCs w:val="32"/>
        </w:rPr>
        <w:t>第六条</w:t>
      </w:r>
      <w:bookmarkEnd w:id="0"/>
      <w:r>
        <w:rPr>
          <w:rFonts w:ascii="仿宋" w:hAnsi="仿宋" w:eastAsia="仿宋" w:cs="Times New Roman"/>
          <w:sz w:val="32"/>
          <w:szCs w:val="32"/>
        </w:rPr>
        <w:t xml:space="preserve">  </w:t>
      </w:r>
      <w:r>
        <w:rPr>
          <w:rFonts w:hint="eastAsia" w:ascii="仿宋" w:hAnsi="仿宋" w:eastAsia="仿宋" w:cs="Times New Roman"/>
          <w:sz w:val="32"/>
          <w:szCs w:val="32"/>
        </w:rPr>
        <w:t>聘任程序</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 xml:space="preserve"> </w:t>
      </w:r>
      <w:r>
        <w:rPr>
          <w:rFonts w:hint="eastAsia" w:ascii="仿宋" w:hAnsi="仿宋" w:eastAsia="仿宋" w:cs="Times New Roman"/>
          <w:sz w:val="32"/>
          <w:szCs w:val="32"/>
        </w:rPr>
        <w:t>部门推荐。系室提出拟聘人选，</w:t>
      </w:r>
      <w:bookmarkStart w:id="1" w:name="_Hlk155171604"/>
      <w:r>
        <w:rPr>
          <w:rFonts w:hint="eastAsia" w:ascii="仿宋" w:hAnsi="仿宋" w:eastAsia="仿宋" w:cs="Times New Roman"/>
          <w:sz w:val="32"/>
          <w:szCs w:val="32"/>
        </w:rPr>
        <w:t>并对拟聘人员的思想政治、师德师风、教学能力、学术水平等进行</w:t>
      </w:r>
      <w:bookmarkEnd w:id="1"/>
      <w:r>
        <w:rPr>
          <w:rFonts w:hint="eastAsia" w:ascii="仿宋" w:hAnsi="仿宋" w:eastAsia="仿宋" w:cs="Times New Roman"/>
          <w:sz w:val="32"/>
          <w:szCs w:val="32"/>
        </w:rPr>
        <w:t>调研，调研结果上报学院。</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 xml:space="preserve"> </w:t>
      </w:r>
      <w:r>
        <w:rPr>
          <w:rFonts w:hint="eastAsia" w:ascii="仿宋" w:hAnsi="仿宋" w:eastAsia="仿宋" w:cs="Times New Roman"/>
          <w:sz w:val="32"/>
          <w:szCs w:val="32"/>
        </w:rPr>
        <w:t>学院审核。学院召开党政联席会，对拟聘人员的调研结果进行复核、评议，明确聘期任务，公示无异议后上报学校审批。</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 xml:space="preserve"> </w:t>
      </w:r>
      <w:r>
        <w:rPr>
          <w:rFonts w:hint="eastAsia" w:ascii="仿宋" w:hAnsi="仿宋" w:eastAsia="仿宋" w:cs="Times New Roman"/>
          <w:sz w:val="32"/>
          <w:szCs w:val="32"/>
        </w:rPr>
        <w:t>学校审批。待学校审批后予以公布。</w:t>
      </w:r>
    </w:p>
    <w:p>
      <w:pPr>
        <w:spacing w:line="360" w:lineRule="auto"/>
        <w:ind w:firstLine="643" w:firstLineChars="200"/>
        <w:rPr>
          <w:rFonts w:ascii="仿宋" w:hAnsi="仿宋" w:eastAsia="仿宋" w:cs="Times New Roman"/>
          <w:sz w:val="32"/>
          <w:szCs w:val="32"/>
        </w:rPr>
      </w:pPr>
      <w:bookmarkStart w:id="2" w:name="_Hlk155085839"/>
      <w:r>
        <w:rPr>
          <w:rFonts w:hint="eastAsia" w:ascii="仿宋" w:hAnsi="仿宋" w:eastAsia="仿宋" w:cs="Times New Roman"/>
          <w:b/>
          <w:bCs/>
          <w:sz w:val="32"/>
          <w:szCs w:val="32"/>
        </w:rPr>
        <w:t>第七条</w:t>
      </w:r>
      <w:bookmarkEnd w:id="2"/>
      <w:r>
        <w:rPr>
          <w:rFonts w:ascii="仿宋" w:hAnsi="仿宋" w:eastAsia="仿宋" w:cs="Times New Roman"/>
          <w:sz w:val="32"/>
          <w:szCs w:val="32"/>
        </w:rPr>
        <w:t xml:space="preserve">  有关待遇</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名誉教授、</w:t>
      </w:r>
      <w:r>
        <w:rPr>
          <w:rFonts w:hint="eastAsia" w:ascii="仿宋" w:hAnsi="仿宋" w:eastAsia="仿宋" w:cs="Times New Roman"/>
          <w:sz w:val="32"/>
          <w:szCs w:val="32"/>
        </w:rPr>
        <w:t>副</w:t>
      </w:r>
      <w:r>
        <w:rPr>
          <w:rFonts w:ascii="仿宋" w:hAnsi="仿宋" w:eastAsia="仿宋" w:cs="Times New Roman"/>
          <w:sz w:val="32"/>
          <w:szCs w:val="32"/>
        </w:rPr>
        <w:t>教授不设固定薪酬，来校工作期间的应付报酬按照工作量计算发放：</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（一）名誉教授、</w:t>
      </w:r>
      <w:r>
        <w:rPr>
          <w:rFonts w:hint="eastAsia" w:ascii="仿宋" w:hAnsi="仿宋" w:eastAsia="仿宋" w:cs="Times New Roman"/>
          <w:sz w:val="32"/>
          <w:szCs w:val="32"/>
        </w:rPr>
        <w:t>副</w:t>
      </w:r>
      <w:r>
        <w:rPr>
          <w:rFonts w:ascii="仿宋" w:hAnsi="仿宋" w:eastAsia="仿宋" w:cs="Times New Roman"/>
          <w:sz w:val="32"/>
          <w:szCs w:val="32"/>
        </w:rPr>
        <w:t>教授来校授课或讲学，由学院统筹安排并根据实际工作，按照学校相关文件规定支付报酬</w:t>
      </w:r>
      <w:r>
        <w:rPr>
          <w:rFonts w:hint="eastAsia" w:ascii="仿宋" w:hAnsi="仿宋" w:eastAsia="仿宋" w:cs="Times New Roman"/>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（二）名誉教授、</w:t>
      </w:r>
      <w:r>
        <w:rPr>
          <w:rFonts w:hint="eastAsia" w:ascii="仿宋" w:hAnsi="仿宋" w:eastAsia="仿宋" w:cs="Times New Roman"/>
          <w:sz w:val="32"/>
          <w:szCs w:val="32"/>
        </w:rPr>
        <w:t>副</w:t>
      </w:r>
      <w:r>
        <w:rPr>
          <w:rFonts w:ascii="仿宋" w:hAnsi="仿宋" w:eastAsia="仿宋" w:cs="Times New Roman"/>
          <w:sz w:val="32"/>
          <w:szCs w:val="32"/>
        </w:rPr>
        <w:t>教授署名第一作者单位为</w:t>
      </w:r>
      <w:r>
        <w:rPr>
          <w:rFonts w:hint="eastAsia" w:ascii="仿宋" w:hAnsi="仿宋" w:eastAsia="仿宋" w:cs="Times New Roman"/>
          <w:sz w:val="32"/>
          <w:szCs w:val="32"/>
        </w:rPr>
        <w:t>南通大学生命科学学院的</w:t>
      </w:r>
      <w:r>
        <w:rPr>
          <w:rFonts w:ascii="仿宋" w:hAnsi="仿宋" w:eastAsia="仿宋" w:cs="Times New Roman"/>
          <w:sz w:val="32"/>
          <w:szCs w:val="32"/>
        </w:rPr>
        <w:t>优秀科研成果，可按学校相关办法实施奖励</w:t>
      </w:r>
      <w:r>
        <w:rPr>
          <w:rFonts w:hint="eastAsia" w:ascii="仿宋" w:hAnsi="仿宋" w:eastAsia="仿宋" w:cs="Times New Roman"/>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（三）名誉教授、</w:t>
      </w:r>
      <w:r>
        <w:rPr>
          <w:rFonts w:hint="eastAsia" w:ascii="仿宋" w:hAnsi="仿宋" w:eastAsia="仿宋" w:cs="Times New Roman"/>
          <w:sz w:val="32"/>
          <w:szCs w:val="32"/>
        </w:rPr>
        <w:t>副</w:t>
      </w:r>
      <w:r>
        <w:rPr>
          <w:rFonts w:ascii="仿宋" w:hAnsi="仿宋" w:eastAsia="仿宋" w:cs="Times New Roman"/>
          <w:sz w:val="32"/>
          <w:szCs w:val="32"/>
        </w:rPr>
        <w:t>教授来校工作产生的交通、住宿等费用由学院负责报销。</w:t>
      </w: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第八条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聘期考核及管理</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（一）名誉教授、</w:t>
      </w:r>
      <w:r>
        <w:rPr>
          <w:rFonts w:hint="eastAsia" w:ascii="仿宋" w:hAnsi="仿宋" w:eastAsia="仿宋" w:cs="Times New Roman"/>
          <w:sz w:val="32"/>
          <w:szCs w:val="32"/>
        </w:rPr>
        <w:t>副</w:t>
      </w:r>
      <w:r>
        <w:rPr>
          <w:rFonts w:ascii="仿宋" w:hAnsi="仿宋" w:eastAsia="仿宋" w:cs="Times New Roman"/>
          <w:sz w:val="32"/>
          <w:szCs w:val="32"/>
        </w:rPr>
        <w:t>教授的聘任纳入学院的师资队伍建设规划，其日常管理服务工作由</w:t>
      </w:r>
      <w:r>
        <w:rPr>
          <w:rFonts w:hint="eastAsia" w:ascii="仿宋" w:hAnsi="仿宋" w:eastAsia="仿宋" w:cs="Times New Roman"/>
          <w:sz w:val="32"/>
          <w:szCs w:val="32"/>
        </w:rPr>
        <w:t>学院</w:t>
      </w:r>
      <w:r>
        <w:rPr>
          <w:rFonts w:ascii="仿宋" w:hAnsi="仿宋" w:eastAsia="仿宋" w:cs="Times New Roman"/>
          <w:sz w:val="32"/>
          <w:szCs w:val="32"/>
        </w:rPr>
        <w:t>负责</w:t>
      </w:r>
      <w:r>
        <w:rPr>
          <w:rFonts w:hint="eastAsia" w:ascii="仿宋" w:hAnsi="仿宋" w:eastAsia="仿宋" w:cs="Times New Roman"/>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（二）应与被聘请的名誉教授</w:t>
      </w:r>
      <w:r>
        <w:rPr>
          <w:rFonts w:hint="eastAsia" w:ascii="仿宋" w:hAnsi="仿宋" w:eastAsia="仿宋" w:cs="Times New Roman"/>
          <w:sz w:val="32"/>
          <w:szCs w:val="32"/>
        </w:rPr>
        <w:t>、副</w:t>
      </w:r>
      <w:r>
        <w:rPr>
          <w:rFonts w:ascii="仿宋" w:hAnsi="仿宋" w:eastAsia="仿宋" w:cs="Times New Roman"/>
          <w:sz w:val="32"/>
          <w:szCs w:val="32"/>
        </w:rPr>
        <w:t>教授保持联系，充分发挥其在推进</w:t>
      </w:r>
      <w:r>
        <w:rPr>
          <w:rFonts w:hint="eastAsia" w:ascii="仿宋" w:hAnsi="仿宋" w:eastAsia="仿宋" w:cs="Times New Roman"/>
          <w:sz w:val="32"/>
          <w:szCs w:val="32"/>
        </w:rPr>
        <w:t>学院</w:t>
      </w:r>
      <w:r>
        <w:rPr>
          <w:rFonts w:ascii="仿宋" w:hAnsi="仿宋" w:eastAsia="仿宋" w:cs="Times New Roman"/>
          <w:sz w:val="32"/>
          <w:szCs w:val="32"/>
        </w:rPr>
        <w:t>学科建设、提高教学科研水平、促进学校改革和发展中的作用。</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（三）名誉教授、</w:t>
      </w:r>
      <w:r>
        <w:rPr>
          <w:rFonts w:hint="eastAsia" w:ascii="仿宋" w:hAnsi="仿宋" w:eastAsia="仿宋" w:cs="Times New Roman"/>
          <w:sz w:val="32"/>
          <w:szCs w:val="32"/>
        </w:rPr>
        <w:t>副</w:t>
      </w:r>
      <w:r>
        <w:rPr>
          <w:rFonts w:ascii="仿宋" w:hAnsi="仿宋" w:eastAsia="仿宋" w:cs="Times New Roman"/>
          <w:sz w:val="32"/>
          <w:szCs w:val="32"/>
        </w:rPr>
        <w:t>教授应遵守国家法律、法规及学校的相关制度</w:t>
      </w:r>
      <w:r>
        <w:rPr>
          <w:rFonts w:hint="eastAsia" w:ascii="仿宋" w:hAnsi="仿宋" w:eastAsia="仿宋" w:cs="Times New Roman"/>
          <w:sz w:val="32"/>
          <w:szCs w:val="32"/>
        </w:rPr>
        <w:t>，</w:t>
      </w:r>
      <w:r>
        <w:rPr>
          <w:rFonts w:ascii="仿宋" w:hAnsi="仿宋" w:eastAsia="仿宋" w:cs="Times New Roman"/>
          <w:sz w:val="32"/>
          <w:szCs w:val="32"/>
        </w:rPr>
        <w:t>维护学校的利益和声誉，履行相应职责和义务，如有违背者，</w:t>
      </w:r>
      <w:r>
        <w:rPr>
          <w:rFonts w:hint="eastAsia" w:ascii="仿宋" w:hAnsi="仿宋" w:eastAsia="仿宋" w:cs="Times New Roman"/>
          <w:sz w:val="32"/>
          <w:szCs w:val="32"/>
        </w:rPr>
        <w:t>学院</w:t>
      </w:r>
      <w:r>
        <w:rPr>
          <w:rFonts w:ascii="仿宋" w:hAnsi="仿宋" w:eastAsia="仿宋" w:cs="Times New Roman"/>
          <w:sz w:val="32"/>
          <w:szCs w:val="32"/>
        </w:rPr>
        <w:t>有权单方面</w:t>
      </w:r>
      <w:r>
        <w:rPr>
          <w:rFonts w:hint="eastAsia" w:ascii="仿宋" w:hAnsi="仿宋" w:eastAsia="仿宋" w:cs="Times New Roman"/>
          <w:sz w:val="32"/>
          <w:szCs w:val="32"/>
        </w:rPr>
        <w:t>提出</w:t>
      </w:r>
      <w:r>
        <w:rPr>
          <w:rFonts w:ascii="仿宋" w:hAnsi="仿宋" w:eastAsia="仿宋" w:cs="Times New Roman"/>
          <w:sz w:val="32"/>
          <w:szCs w:val="32"/>
        </w:rPr>
        <w:t>予以解聘。</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（四）受聘人员在受聘期间因个人原因不能履行职责的，应及时与学</w:t>
      </w:r>
      <w:r>
        <w:rPr>
          <w:rFonts w:hint="eastAsia" w:ascii="仿宋" w:hAnsi="仿宋" w:eastAsia="仿宋" w:cs="Times New Roman"/>
          <w:sz w:val="32"/>
          <w:szCs w:val="32"/>
        </w:rPr>
        <w:t>院</w:t>
      </w:r>
      <w:r>
        <w:rPr>
          <w:rFonts w:ascii="仿宋" w:hAnsi="仿宋" w:eastAsia="仿宋" w:cs="Times New Roman"/>
          <w:sz w:val="32"/>
          <w:szCs w:val="32"/>
        </w:rPr>
        <w:t>联系，双方协商后</w:t>
      </w:r>
      <w:r>
        <w:rPr>
          <w:rFonts w:hint="eastAsia" w:ascii="仿宋" w:hAnsi="仿宋" w:eastAsia="仿宋" w:cs="Times New Roman"/>
          <w:sz w:val="32"/>
          <w:szCs w:val="32"/>
        </w:rPr>
        <w:t>上报学校批准后</w:t>
      </w:r>
      <w:r>
        <w:rPr>
          <w:rFonts w:ascii="仿宋" w:hAnsi="仿宋" w:eastAsia="仿宋" w:cs="Times New Roman"/>
          <w:sz w:val="32"/>
          <w:szCs w:val="32"/>
        </w:rPr>
        <w:t>方可解除聘任关系。</w:t>
      </w:r>
    </w:p>
    <w:p>
      <w:pPr>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第九条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附则</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本办法自公布之日起执行，凡前期文件规定与本办法不一致的，以本办法为准</w:t>
      </w:r>
      <w:r>
        <w:rPr>
          <w:rFonts w:hint="eastAsia" w:ascii="仿宋" w:hAnsi="仿宋" w:eastAsia="仿宋" w:cs="Times New Roman"/>
          <w:sz w:val="32"/>
          <w:szCs w:val="32"/>
        </w:rPr>
        <w:t>。学校</w:t>
      </w:r>
      <w:r>
        <w:rPr>
          <w:rFonts w:ascii="仿宋" w:hAnsi="仿宋" w:eastAsia="仿宋" w:cs="Times New Roman"/>
          <w:sz w:val="32"/>
          <w:szCs w:val="32"/>
        </w:rPr>
        <w:t>另有规定的，按照</w:t>
      </w:r>
      <w:r>
        <w:rPr>
          <w:rFonts w:hint="eastAsia" w:ascii="仿宋" w:hAnsi="仿宋" w:eastAsia="仿宋" w:cs="Times New Roman"/>
          <w:sz w:val="32"/>
          <w:szCs w:val="32"/>
        </w:rPr>
        <w:t>学校</w:t>
      </w:r>
      <w:r>
        <w:rPr>
          <w:rFonts w:ascii="仿宋" w:hAnsi="仿宋" w:eastAsia="仿宋" w:cs="Times New Roman"/>
          <w:sz w:val="32"/>
          <w:szCs w:val="32"/>
        </w:rPr>
        <w:t>的规定执行。</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本</w:t>
      </w:r>
      <w:r>
        <w:rPr>
          <w:rFonts w:hint="eastAsia" w:ascii="仿宋" w:hAnsi="仿宋" w:eastAsia="仿宋" w:cs="Times New Roman"/>
          <w:sz w:val="32"/>
          <w:szCs w:val="32"/>
        </w:rPr>
        <w:t>聘用与管理办法</w:t>
      </w:r>
      <w:r>
        <w:rPr>
          <w:rFonts w:ascii="仿宋" w:hAnsi="仿宋" w:eastAsia="仿宋" w:cs="Times New Roman"/>
          <w:sz w:val="32"/>
          <w:szCs w:val="32"/>
        </w:rPr>
        <w:t>由</w:t>
      </w:r>
      <w:r>
        <w:rPr>
          <w:rFonts w:hint="eastAsia" w:ascii="仿宋" w:hAnsi="仿宋" w:eastAsia="仿宋" w:cs="Times New Roman"/>
          <w:sz w:val="32"/>
          <w:szCs w:val="32"/>
        </w:rPr>
        <w:t>学院</w:t>
      </w:r>
      <w:r>
        <w:rPr>
          <w:rFonts w:ascii="仿宋" w:hAnsi="仿宋" w:eastAsia="仿宋" w:cs="Times New Roman"/>
          <w:sz w:val="32"/>
          <w:szCs w:val="32"/>
        </w:rPr>
        <w:t>负责解释。</w:t>
      </w:r>
    </w:p>
    <w:p>
      <w:pPr>
        <w:pStyle w:val="14"/>
        <w:shd w:val="clear" w:color="auto" w:fill="auto"/>
        <w:spacing w:after="0"/>
        <w:jc w:val="both"/>
        <w:rPr>
          <w:rFonts w:ascii="仿宋" w:hAnsi="仿宋" w:eastAsia="仿宋" w:cs="Tahoma"/>
          <w:color w:val="000000"/>
          <w:kern w:val="0"/>
          <w:sz w:val="32"/>
          <w:szCs w:val="32"/>
          <w:lang w:val="en-US"/>
        </w:rPr>
      </w:pPr>
    </w:p>
    <w:p>
      <w:pPr>
        <w:pStyle w:val="14"/>
        <w:shd w:val="clear" w:color="auto" w:fill="auto"/>
        <w:spacing w:after="0"/>
        <w:jc w:val="both"/>
        <w:rPr>
          <w:rFonts w:ascii="仿宋" w:hAnsi="仿宋" w:eastAsia="仿宋" w:cs="Tahoma"/>
          <w:color w:val="000000"/>
          <w:kern w:val="0"/>
          <w:sz w:val="32"/>
          <w:szCs w:val="32"/>
          <w:lang w:val="en-US"/>
        </w:rPr>
      </w:pPr>
    </w:p>
    <w:p>
      <w:pPr>
        <w:pStyle w:val="14"/>
        <w:shd w:val="clear" w:color="auto" w:fill="auto"/>
        <w:spacing w:after="0"/>
        <w:jc w:val="both"/>
        <w:rPr>
          <w:rFonts w:ascii="仿宋" w:hAnsi="仿宋" w:eastAsia="仿宋" w:cs="Tahoma"/>
          <w:color w:val="000000"/>
          <w:kern w:val="0"/>
          <w:sz w:val="32"/>
          <w:szCs w:val="32"/>
          <w:lang w:val="en-US"/>
        </w:rPr>
      </w:pPr>
    </w:p>
    <w:p>
      <w:pPr>
        <w:pStyle w:val="14"/>
        <w:shd w:val="clear" w:color="auto" w:fill="auto"/>
        <w:spacing w:after="0"/>
        <w:jc w:val="both"/>
        <w:rPr>
          <w:rFonts w:ascii="仿宋" w:hAnsi="仿宋" w:eastAsia="仿宋" w:cs="Tahoma"/>
          <w:color w:val="000000"/>
          <w:kern w:val="0"/>
          <w:sz w:val="32"/>
          <w:szCs w:val="32"/>
          <w:lang w:val="en-US"/>
        </w:rPr>
      </w:pPr>
    </w:p>
    <w:p>
      <w:pPr>
        <w:pStyle w:val="14"/>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p>
    <w:p>
      <w:pPr>
        <w:ind w:right="161"/>
        <w:jc w:val="right"/>
        <w:rPr>
          <w:rFonts w:ascii="仿宋" w:hAnsi="仿宋" w:eastAsia="仿宋" w:cs="宋体"/>
          <w:kern w:val="0"/>
          <w:sz w:val="28"/>
          <w:szCs w:val="28"/>
        </w:rPr>
      </w:pPr>
      <w:r>
        <w:rPr>
          <w:rFonts w:hint="eastAsia" w:ascii="仿宋" w:hAnsi="仿宋" w:eastAsia="仿宋" w:cs="Tahoma"/>
          <w:color w:val="000000"/>
          <w:kern w:val="0"/>
          <w:sz w:val="32"/>
          <w:szCs w:val="32"/>
        </w:rPr>
        <w:t xml:space="preserve">                        </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B7A36"/>
    <w:rsid w:val="005F361C"/>
    <w:rsid w:val="0066213A"/>
    <w:rsid w:val="0067670E"/>
    <w:rsid w:val="006C0367"/>
    <w:rsid w:val="006D3359"/>
    <w:rsid w:val="00704469"/>
    <w:rsid w:val="00732185"/>
    <w:rsid w:val="00755857"/>
    <w:rsid w:val="007A0D55"/>
    <w:rsid w:val="007A7A32"/>
    <w:rsid w:val="007D23D9"/>
    <w:rsid w:val="007F75A0"/>
    <w:rsid w:val="008D1C8B"/>
    <w:rsid w:val="008F0EED"/>
    <w:rsid w:val="009343AA"/>
    <w:rsid w:val="00936DFF"/>
    <w:rsid w:val="009B6E18"/>
    <w:rsid w:val="00A44EDB"/>
    <w:rsid w:val="00A4655B"/>
    <w:rsid w:val="00A85620"/>
    <w:rsid w:val="00AA3184"/>
    <w:rsid w:val="00AD40CE"/>
    <w:rsid w:val="00C11240"/>
    <w:rsid w:val="00CA720F"/>
    <w:rsid w:val="00CF058D"/>
    <w:rsid w:val="00D6293C"/>
    <w:rsid w:val="00D90798"/>
    <w:rsid w:val="00E261A7"/>
    <w:rsid w:val="00F13368"/>
    <w:rsid w:val="00F229BC"/>
    <w:rsid w:val="00F923F9"/>
    <w:rsid w:val="00FE1781"/>
    <w:rsid w:val="0DA303ED"/>
    <w:rsid w:val="39BB510B"/>
    <w:rsid w:val="568D71FB"/>
    <w:rsid w:val="5DA23C1A"/>
    <w:rsid w:val="7D1E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uiPriority w:val="99"/>
    <w:rPr>
      <w:sz w:val="18"/>
      <w:szCs w:val="18"/>
    </w:rPr>
  </w:style>
  <w:style w:type="character" w:customStyle="1" w:styleId="16">
    <w:name w:val="日期 Char"/>
    <w:basedOn w:val="9"/>
    <w:link w:val="3"/>
    <w:autoRedefine/>
    <w:semiHidden/>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70850-8E80-4F82-8B34-AB0EC009DB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244</Words>
  <Characters>1392</Characters>
  <Lines>11</Lines>
  <Paragraphs>3</Paragraphs>
  <TotalTime>0</TotalTime>
  <ScaleCrop>false</ScaleCrop>
  <LinksUpToDate>false</LinksUpToDate>
  <CharactersWithSpaces>1633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2024-03-08T09:03:00Z</dcterms:created>
  <dc:creator>lenovo-zhang</dc:creator>
  <cp:lastModifiedBy>geyun</cp:lastModifiedBy>
  <cp:lastPrinted>2023-09-11T09:01:00Z</cp:lastPrinted>
  <dcterms:modified xsi:type="dcterms:W3CDTF">2024-03-10T08:49:18Z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B1C55F264E9B4206B6EFC14674180C5C_12</vt:lpwstr>
  </property>
</Properties>
</file>