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EA402">
      <w:pPr>
        <w:spacing w:before="0" w:after="0" w:line="560" w:lineRule="exact"/>
        <w:jc w:val="center"/>
        <w:rPr>
          <w:color w:val="auto"/>
        </w:rPr>
      </w:pPr>
      <w:r>
        <w:rPr>
          <w:rFonts w:ascii="Times New Roman" w:hAnsi="Times New Roman" w:eastAsia="FangSong_GB2312" w:cs="Times New Roman"/>
          <w:b/>
          <w:bCs/>
          <w:color w:val="auto"/>
          <w:sz w:val="32"/>
          <w:szCs w:val="32"/>
        </w:rPr>
        <w:t>南通大学生命科学学院（海洋学院）2026级</w:t>
      </w:r>
    </w:p>
    <w:p w14:paraId="74666F8E">
      <w:pPr>
        <w:spacing w:after="240" w:line="560" w:lineRule="exact"/>
        <w:jc w:val="center"/>
        <w:rPr>
          <w:color w:val="auto"/>
        </w:rPr>
      </w:pPr>
      <w:r>
        <w:rPr>
          <w:rFonts w:ascii="Times New Roman" w:hAnsi="Times New Roman" w:eastAsia="FangSong_GB2312" w:cs="Times New Roman"/>
          <w:b/>
          <w:bCs/>
          <w:color w:val="auto"/>
          <w:sz w:val="32"/>
          <w:szCs w:val="32"/>
        </w:rPr>
        <w:t>全日制普通本科生转专业方案</w:t>
      </w:r>
    </w:p>
    <w:p w14:paraId="223E941F">
      <w:pPr>
        <w:spacing w:after="0" w:line="560" w:lineRule="exact"/>
        <w:ind w:firstLine="640"/>
        <w:rPr>
          <w:color w:val="auto"/>
        </w:rPr>
      </w:pPr>
      <w:r>
        <w:rPr>
          <w:rFonts w:ascii="Times New Roman" w:hAnsi="Times New Roman" w:eastAsia="FangSong_GB2312" w:cs="Times New Roman"/>
          <w:color w:val="auto"/>
          <w:sz w:val="32"/>
          <w:szCs w:val="32"/>
        </w:rPr>
        <w:t>根据教育部《普通高等学校学生管理规定》《江苏省教育厅关于加强普通高等学校学生转专业工作管理的指导意见》《南通大学全日制普通本科学生学籍管理规定（修订）》《南通大学全日制普通本科学生转专业实施办法（修订）》等有关文件精神和学院的办学条件，经学院党政联席会议研究，制定2026级全日制普通本科学生转专业转入考核方案。</w:t>
      </w:r>
    </w:p>
    <w:p w14:paraId="02DFF655">
      <w:pPr>
        <w:pStyle w:val="2"/>
        <w:spacing w:before="160" w:after="0"/>
        <w:rPr>
          <w:color w:val="auto"/>
        </w:rPr>
      </w:pPr>
      <w:r>
        <w:rPr>
          <w:rFonts w:ascii="Times New Roman" w:hAnsi="Times New Roman" w:eastAsia="FangSong_GB2312" w:cs="Times New Roman"/>
          <w:b/>
          <w:bCs/>
          <w:color w:val="auto"/>
          <w:sz w:val="32"/>
          <w:szCs w:val="32"/>
        </w:rPr>
        <w:t>一、申请转入报名条件及要求</w:t>
      </w:r>
    </w:p>
    <w:p w14:paraId="37592E20">
      <w:pPr>
        <w:spacing w:after="0" w:line="560" w:lineRule="exact"/>
        <w:ind w:firstLine="640"/>
        <w:rPr>
          <w:color w:val="auto"/>
        </w:rPr>
      </w:pPr>
      <w:r>
        <w:rPr>
          <w:rFonts w:ascii="Times New Roman" w:hAnsi="Times New Roman" w:eastAsia="FangSong_GB2312" w:cs="Times New Roman"/>
          <w:color w:val="auto"/>
          <w:sz w:val="32"/>
          <w:szCs w:val="32"/>
        </w:rPr>
        <w:t>本次转专业申请转入对象为被我校录取并取得学籍的2026级在校学生。申请人须符合学校教务处《关于做好2026级全日制普通本科生转专业有关工作的通知》《南通大学全日制普通本科学生转专业实施办法（修订）》的相关规定。</w:t>
      </w:r>
    </w:p>
    <w:p w14:paraId="0A0F6CDF">
      <w:pPr>
        <w:spacing w:after="0" w:line="560" w:lineRule="exact"/>
        <w:ind w:firstLine="640"/>
        <w:rPr>
          <w:color w:val="auto"/>
          <w:highlight w:val="none"/>
        </w:rPr>
      </w:pPr>
      <w:r>
        <w:rPr>
          <w:rFonts w:ascii="Times New Roman" w:hAnsi="Times New Roman" w:eastAsia="FangSong_GB2312" w:cs="Times New Roman"/>
          <w:color w:val="auto"/>
          <w:sz w:val="32"/>
          <w:szCs w:val="32"/>
        </w:rPr>
        <w:t>申请人须符合南通大学2026年普通本科招生中相应专业公布的高考选考科目要求及身体条件要求。因生物科学（师范）、生物技术专业对物理、化学相关知识要求较高，为避免在修学过程中因相关课程学习困难影响学业</w:t>
      </w:r>
      <w:r>
        <w:rPr>
          <w:rFonts w:ascii="Times New Roman" w:hAnsi="Times New Roman" w:eastAsia="FangSong_GB2312" w:cs="Times New Roman"/>
          <w:color w:val="auto"/>
          <w:sz w:val="32"/>
          <w:szCs w:val="32"/>
          <w:highlight w:val="none"/>
        </w:rPr>
        <w:t>，相关基础薄弱的学生在申请转入时慎重选择。</w:t>
      </w:r>
    </w:p>
    <w:p w14:paraId="7D1547FE">
      <w:pPr>
        <w:spacing w:after="0" w:line="560" w:lineRule="exact"/>
        <w:ind w:firstLine="640"/>
        <w:rPr>
          <w:color w:val="auto"/>
        </w:rPr>
      </w:pPr>
      <w:r>
        <w:rPr>
          <w:rFonts w:ascii="Times New Roman" w:hAnsi="Times New Roman" w:eastAsia="FangSong_GB2312" w:cs="Times New Roman"/>
          <w:color w:val="auto"/>
          <w:sz w:val="32"/>
          <w:szCs w:val="32"/>
        </w:rPr>
        <w:t>具有下列情形之一者，原则上不具有转入资格：</w:t>
      </w:r>
    </w:p>
    <w:p w14:paraId="1FEFD010">
      <w:pPr>
        <w:spacing w:after="0" w:line="560" w:lineRule="exact"/>
        <w:ind w:firstLine="640"/>
        <w:rPr>
          <w:color w:val="auto"/>
        </w:rPr>
      </w:pPr>
      <w:r>
        <w:rPr>
          <w:rFonts w:ascii="Times New Roman" w:hAnsi="Times New Roman" w:eastAsia="FangSong_GB2312" w:cs="Times New Roman"/>
          <w:color w:val="auto"/>
          <w:sz w:val="32"/>
          <w:szCs w:val="32"/>
        </w:rPr>
        <w:t>（一）身体不符合转入专业要求的。</w:t>
      </w:r>
    </w:p>
    <w:p w14:paraId="4E241541">
      <w:pPr>
        <w:spacing w:after="0" w:line="560" w:lineRule="exact"/>
        <w:ind w:firstLine="640"/>
        <w:rPr>
          <w:color w:val="auto"/>
        </w:rPr>
      </w:pPr>
      <w:r>
        <w:rPr>
          <w:rFonts w:ascii="Times New Roman" w:hAnsi="Times New Roman" w:eastAsia="FangSong_GB2312" w:cs="Times New Roman"/>
          <w:color w:val="auto"/>
          <w:sz w:val="32"/>
          <w:szCs w:val="32"/>
        </w:rPr>
        <w:t>（二）人才培养方案规定学期（含当前学期）修读的课程（通识教育选修课除外）有不合格或缓考的。</w:t>
      </w:r>
    </w:p>
    <w:p w14:paraId="62AA9A3A">
      <w:pPr>
        <w:spacing w:after="0" w:line="560" w:lineRule="exact"/>
        <w:ind w:firstLine="640"/>
        <w:rPr>
          <w:color w:val="auto"/>
        </w:rPr>
      </w:pPr>
      <w:r>
        <w:rPr>
          <w:rFonts w:ascii="Times New Roman" w:hAnsi="Times New Roman" w:eastAsia="FangSong_GB2312" w:cs="Times New Roman"/>
          <w:color w:val="auto"/>
          <w:sz w:val="32"/>
          <w:szCs w:val="32"/>
        </w:rPr>
        <w:t>（三）在校期间受过记过及以上处分的。</w:t>
      </w:r>
    </w:p>
    <w:p w14:paraId="5A16EE37">
      <w:pPr>
        <w:spacing w:after="0" w:line="560" w:lineRule="exact"/>
        <w:ind w:firstLine="640"/>
        <w:rPr>
          <w:color w:val="auto"/>
        </w:rPr>
      </w:pPr>
      <w:r>
        <w:rPr>
          <w:rFonts w:ascii="Times New Roman" w:hAnsi="Times New Roman" w:eastAsia="FangSong_GB2312" w:cs="Times New Roman"/>
          <w:color w:val="auto"/>
          <w:sz w:val="32"/>
          <w:szCs w:val="32"/>
        </w:rPr>
        <w:t>（四）休学期间的。</w:t>
      </w:r>
    </w:p>
    <w:p w14:paraId="5B3851BA">
      <w:pPr>
        <w:spacing w:after="0" w:line="560" w:lineRule="exact"/>
        <w:ind w:firstLine="640"/>
        <w:rPr>
          <w:color w:val="auto"/>
        </w:rPr>
      </w:pPr>
      <w:r>
        <w:rPr>
          <w:rFonts w:ascii="Times New Roman" w:hAnsi="Times New Roman" w:eastAsia="FangSong_GB2312" w:cs="Times New Roman"/>
          <w:color w:val="auto"/>
          <w:sz w:val="32"/>
          <w:szCs w:val="32"/>
        </w:rPr>
        <w:t>（五）以特殊招生形式录取的，有相关规定或者录取前有明确约定的。</w:t>
      </w:r>
    </w:p>
    <w:p w14:paraId="7FE0CA05">
      <w:pPr>
        <w:spacing w:after="0" w:line="560" w:lineRule="exact"/>
        <w:ind w:firstLine="640"/>
        <w:rPr>
          <w:color w:val="auto"/>
        </w:rPr>
      </w:pPr>
      <w:r>
        <w:rPr>
          <w:rFonts w:ascii="Times New Roman" w:hAnsi="Times New Roman" w:eastAsia="FangSong_GB2312" w:cs="Times New Roman"/>
          <w:color w:val="auto"/>
          <w:sz w:val="32"/>
          <w:szCs w:val="32"/>
        </w:rPr>
        <w:t>（六）“专转本”等转段考核录取的。</w:t>
      </w:r>
    </w:p>
    <w:p w14:paraId="01BA877D">
      <w:pPr>
        <w:spacing w:after="0" w:line="560" w:lineRule="exact"/>
        <w:ind w:firstLine="640"/>
        <w:rPr>
          <w:color w:val="auto"/>
        </w:rPr>
      </w:pPr>
      <w:r>
        <w:rPr>
          <w:rFonts w:ascii="Times New Roman" w:hAnsi="Times New Roman" w:eastAsia="FangSong_GB2312" w:cs="Times New Roman"/>
          <w:color w:val="auto"/>
          <w:sz w:val="32"/>
          <w:szCs w:val="32"/>
        </w:rPr>
        <w:t>（七）不符合转入专业特殊要求的。</w:t>
      </w:r>
    </w:p>
    <w:p w14:paraId="505CF36F">
      <w:pPr>
        <w:spacing w:after="0" w:line="560" w:lineRule="exact"/>
        <w:ind w:firstLine="640"/>
        <w:rPr>
          <w:color w:val="auto"/>
        </w:rPr>
      </w:pPr>
      <w:r>
        <w:rPr>
          <w:rFonts w:ascii="Times New Roman" w:hAnsi="Times New Roman" w:eastAsia="FangSong_GB2312" w:cs="Times New Roman"/>
          <w:color w:val="auto"/>
          <w:sz w:val="32"/>
          <w:szCs w:val="32"/>
        </w:rPr>
        <w:t>（八）原专业学费未缴清的。</w:t>
      </w:r>
    </w:p>
    <w:p w14:paraId="66D7CFEF">
      <w:pPr>
        <w:spacing w:after="0" w:line="560" w:lineRule="exact"/>
        <w:ind w:firstLine="640"/>
        <w:rPr>
          <w:color w:val="auto"/>
        </w:rPr>
      </w:pPr>
      <w:r>
        <w:rPr>
          <w:rFonts w:ascii="Times New Roman" w:hAnsi="Times New Roman" w:eastAsia="FangSong_GB2312" w:cs="Times New Roman"/>
          <w:color w:val="auto"/>
          <w:sz w:val="32"/>
          <w:szCs w:val="32"/>
        </w:rPr>
        <w:t>每名学生最多可申请两个专业。学生须在规定时间内登录南通大学教学综合信息服务平台填报转专业申请；报名规定期限内可修改专业志愿，报名截止后无法申请或更改志愿。</w:t>
      </w:r>
    </w:p>
    <w:p w14:paraId="22187A82">
      <w:pPr>
        <w:pStyle w:val="2"/>
        <w:spacing w:before="160" w:after="0"/>
        <w:rPr>
          <w:color w:val="auto"/>
        </w:rPr>
      </w:pPr>
      <w:r>
        <w:rPr>
          <w:rFonts w:ascii="Times New Roman" w:hAnsi="Times New Roman" w:eastAsia="FangSong_GB2312" w:cs="Times New Roman"/>
          <w:b/>
          <w:bCs/>
          <w:color w:val="auto"/>
          <w:sz w:val="32"/>
          <w:szCs w:val="32"/>
        </w:rPr>
        <w:t>二、各专业允许转入人数</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3000"/>
        <w:gridCol w:w="2100"/>
        <w:gridCol w:w="2100"/>
      </w:tblGrid>
      <w:tr w14:paraId="56DD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1800" w:type="dxa"/>
            <w:shd w:val="clear" w:color="auto" w:fill="EDF2F3"/>
            <w:tcMar>
              <w:top w:w="80" w:type="dxa"/>
              <w:left w:w="100" w:type="dxa"/>
              <w:bottom w:w="80" w:type="dxa"/>
              <w:right w:w="100" w:type="dxa"/>
            </w:tcMar>
          </w:tcPr>
          <w:p w14:paraId="775D5C6A">
            <w:pPr>
              <w:spacing w:after="0" w:line="560" w:lineRule="exact"/>
              <w:jc w:val="center"/>
              <w:rPr>
                <w:color w:val="auto"/>
              </w:rPr>
            </w:pPr>
            <w:r>
              <w:rPr>
                <w:rFonts w:ascii="Times New Roman" w:hAnsi="Times New Roman" w:eastAsia="FangSong_GB2312" w:cs="Times New Roman"/>
                <w:color w:val="auto"/>
                <w:sz w:val="28"/>
                <w:szCs w:val="28"/>
              </w:rPr>
              <w:t>年级</w:t>
            </w:r>
          </w:p>
        </w:tc>
        <w:tc>
          <w:tcPr>
            <w:tcW w:w="3000" w:type="dxa"/>
            <w:shd w:val="clear" w:color="auto" w:fill="EDF2F3"/>
            <w:tcMar>
              <w:top w:w="80" w:type="dxa"/>
              <w:left w:w="100" w:type="dxa"/>
              <w:bottom w:w="80" w:type="dxa"/>
              <w:right w:w="100" w:type="dxa"/>
            </w:tcMar>
          </w:tcPr>
          <w:p w14:paraId="42C360F4">
            <w:pPr>
              <w:spacing w:after="0" w:line="560" w:lineRule="exact"/>
              <w:jc w:val="center"/>
              <w:rPr>
                <w:color w:val="auto"/>
              </w:rPr>
            </w:pPr>
            <w:r>
              <w:rPr>
                <w:rFonts w:ascii="Times New Roman" w:hAnsi="Times New Roman" w:eastAsia="FangSong_GB2312" w:cs="Times New Roman"/>
                <w:color w:val="auto"/>
                <w:sz w:val="28"/>
                <w:szCs w:val="28"/>
              </w:rPr>
              <w:t>专业</w:t>
            </w:r>
          </w:p>
        </w:tc>
        <w:tc>
          <w:tcPr>
            <w:tcW w:w="2100" w:type="dxa"/>
            <w:shd w:val="clear" w:color="auto" w:fill="EDF2F3"/>
            <w:tcMar>
              <w:top w:w="80" w:type="dxa"/>
              <w:left w:w="100" w:type="dxa"/>
              <w:bottom w:w="80" w:type="dxa"/>
              <w:right w:w="100" w:type="dxa"/>
            </w:tcMar>
          </w:tcPr>
          <w:p w14:paraId="5C1C12F1">
            <w:pPr>
              <w:spacing w:after="0" w:line="560" w:lineRule="exact"/>
              <w:jc w:val="center"/>
              <w:rPr>
                <w:color w:val="auto"/>
              </w:rPr>
            </w:pPr>
            <w:r>
              <w:rPr>
                <w:rFonts w:ascii="Times New Roman" w:hAnsi="Times New Roman" w:eastAsia="FangSong_GB2312" w:cs="Times New Roman"/>
                <w:color w:val="auto"/>
                <w:sz w:val="28"/>
                <w:szCs w:val="28"/>
              </w:rPr>
              <w:t>现有（计划）人数</w:t>
            </w:r>
          </w:p>
        </w:tc>
        <w:tc>
          <w:tcPr>
            <w:tcW w:w="2100" w:type="dxa"/>
            <w:shd w:val="clear" w:color="auto" w:fill="EDF2F3"/>
            <w:tcMar>
              <w:top w:w="80" w:type="dxa"/>
              <w:left w:w="100" w:type="dxa"/>
              <w:bottom w:w="80" w:type="dxa"/>
              <w:right w:w="100" w:type="dxa"/>
            </w:tcMar>
          </w:tcPr>
          <w:p w14:paraId="5680218E">
            <w:pPr>
              <w:spacing w:after="0" w:line="560" w:lineRule="exact"/>
              <w:jc w:val="center"/>
              <w:rPr>
                <w:color w:val="auto"/>
              </w:rPr>
            </w:pPr>
            <w:r>
              <w:rPr>
                <w:rFonts w:ascii="Times New Roman" w:hAnsi="Times New Roman" w:eastAsia="FangSong_GB2312" w:cs="Times New Roman"/>
                <w:color w:val="auto"/>
                <w:sz w:val="28"/>
                <w:szCs w:val="28"/>
              </w:rPr>
              <w:t>允许转入人数</w:t>
            </w:r>
          </w:p>
        </w:tc>
      </w:tr>
      <w:tr w14:paraId="5C84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800" w:type="dxa"/>
            <w:tcMar>
              <w:top w:w="80" w:type="dxa"/>
              <w:left w:w="100" w:type="dxa"/>
              <w:bottom w:w="80" w:type="dxa"/>
              <w:right w:w="100" w:type="dxa"/>
            </w:tcMar>
          </w:tcPr>
          <w:p w14:paraId="5AB16EA0">
            <w:pPr>
              <w:spacing w:after="0" w:line="560" w:lineRule="exact"/>
              <w:jc w:val="center"/>
              <w:rPr>
                <w:color w:val="auto"/>
              </w:rPr>
            </w:pPr>
            <w:r>
              <w:rPr>
                <w:rFonts w:ascii="Times New Roman" w:hAnsi="Times New Roman" w:eastAsia="FangSong_GB2312" w:cs="Times New Roman"/>
                <w:color w:val="auto"/>
                <w:sz w:val="28"/>
                <w:szCs w:val="28"/>
              </w:rPr>
              <w:t>2026级</w:t>
            </w:r>
          </w:p>
        </w:tc>
        <w:tc>
          <w:tcPr>
            <w:tcW w:w="3000" w:type="dxa"/>
            <w:tcMar>
              <w:top w:w="80" w:type="dxa"/>
              <w:left w:w="100" w:type="dxa"/>
              <w:bottom w:w="80" w:type="dxa"/>
              <w:right w:w="100" w:type="dxa"/>
            </w:tcMar>
          </w:tcPr>
          <w:p w14:paraId="05D13A2E">
            <w:pPr>
              <w:spacing w:after="0" w:line="560" w:lineRule="exact"/>
              <w:jc w:val="center"/>
              <w:rPr>
                <w:color w:val="auto"/>
              </w:rPr>
            </w:pPr>
            <w:r>
              <w:rPr>
                <w:rFonts w:ascii="Times New Roman" w:hAnsi="Times New Roman" w:eastAsia="FangSong_GB2312" w:cs="Times New Roman"/>
                <w:color w:val="auto"/>
                <w:sz w:val="28"/>
                <w:szCs w:val="28"/>
              </w:rPr>
              <w:t>生物科学（师范）</w:t>
            </w:r>
          </w:p>
        </w:tc>
        <w:tc>
          <w:tcPr>
            <w:tcW w:w="2100" w:type="dxa"/>
            <w:tcMar>
              <w:top w:w="80" w:type="dxa"/>
              <w:left w:w="100" w:type="dxa"/>
              <w:bottom w:w="80" w:type="dxa"/>
              <w:right w:w="100" w:type="dxa"/>
            </w:tcMar>
          </w:tcPr>
          <w:p w14:paraId="181C98EF">
            <w:pPr>
              <w:spacing w:after="0" w:line="560" w:lineRule="exact"/>
              <w:jc w:val="center"/>
              <w:rPr>
                <w:rFonts w:hint="default" w:eastAsiaTheme="minorEastAsia"/>
                <w:color w:val="auto"/>
                <w:lang w:val="en-US" w:eastAsia="zh-CN"/>
              </w:rPr>
            </w:pPr>
            <w:r>
              <w:rPr>
                <w:rFonts w:hint="eastAsia" w:ascii="Times New Roman" w:hAnsi="Times New Roman" w:eastAsia="FangSong_GB2312" w:cs="Times New Roman"/>
                <w:color w:val="auto"/>
                <w:sz w:val="28"/>
                <w:szCs w:val="28"/>
                <w:lang w:val="en-US" w:eastAsia="zh-CN"/>
              </w:rPr>
              <w:t>128</w:t>
            </w:r>
          </w:p>
        </w:tc>
        <w:tc>
          <w:tcPr>
            <w:tcW w:w="2100" w:type="dxa"/>
            <w:tcMar>
              <w:top w:w="80" w:type="dxa"/>
              <w:left w:w="100" w:type="dxa"/>
              <w:bottom w:w="80" w:type="dxa"/>
              <w:right w:w="100" w:type="dxa"/>
            </w:tcMar>
          </w:tcPr>
          <w:p w14:paraId="58B5863C">
            <w:pPr>
              <w:spacing w:after="0" w:line="560" w:lineRule="exact"/>
              <w:jc w:val="center"/>
              <w:rPr>
                <w:rFonts w:hint="eastAsia" w:eastAsiaTheme="minorEastAsia"/>
                <w:color w:val="auto"/>
                <w:lang w:val="en-US" w:eastAsia="zh-CN"/>
              </w:rPr>
            </w:pPr>
            <w:r>
              <w:rPr>
                <w:rFonts w:hint="eastAsia" w:ascii="Times New Roman" w:hAnsi="Times New Roman" w:eastAsia="FangSong_GB2312" w:cs="Times New Roman"/>
                <w:color w:val="auto"/>
                <w:sz w:val="28"/>
                <w:szCs w:val="28"/>
                <w:lang w:val="en-US" w:eastAsia="zh-CN"/>
              </w:rPr>
              <w:t>6</w:t>
            </w:r>
          </w:p>
        </w:tc>
      </w:tr>
      <w:tr w14:paraId="1CF7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1800" w:type="dxa"/>
            <w:tcMar>
              <w:top w:w="80" w:type="dxa"/>
              <w:left w:w="100" w:type="dxa"/>
              <w:bottom w:w="80" w:type="dxa"/>
              <w:right w:w="100" w:type="dxa"/>
            </w:tcMar>
          </w:tcPr>
          <w:p w14:paraId="79FB4A9D">
            <w:pPr>
              <w:spacing w:after="0" w:line="560" w:lineRule="exact"/>
              <w:jc w:val="center"/>
              <w:rPr>
                <w:color w:val="auto"/>
              </w:rPr>
            </w:pPr>
            <w:r>
              <w:rPr>
                <w:rFonts w:ascii="Times New Roman" w:hAnsi="Times New Roman" w:eastAsia="FangSong_GB2312" w:cs="Times New Roman"/>
                <w:color w:val="auto"/>
                <w:sz w:val="28"/>
                <w:szCs w:val="28"/>
              </w:rPr>
              <w:t>2026级</w:t>
            </w:r>
          </w:p>
        </w:tc>
        <w:tc>
          <w:tcPr>
            <w:tcW w:w="3000" w:type="dxa"/>
            <w:tcMar>
              <w:top w:w="80" w:type="dxa"/>
              <w:left w:w="100" w:type="dxa"/>
              <w:bottom w:w="80" w:type="dxa"/>
              <w:right w:w="100" w:type="dxa"/>
            </w:tcMar>
          </w:tcPr>
          <w:p w14:paraId="1FE54E58">
            <w:pPr>
              <w:spacing w:after="0" w:line="560" w:lineRule="exact"/>
              <w:jc w:val="center"/>
              <w:rPr>
                <w:color w:val="auto"/>
              </w:rPr>
            </w:pPr>
            <w:r>
              <w:rPr>
                <w:rFonts w:ascii="Times New Roman" w:hAnsi="Times New Roman" w:eastAsia="FangSong_GB2312" w:cs="Times New Roman"/>
                <w:color w:val="auto"/>
                <w:sz w:val="28"/>
                <w:szCs w:val="28"/>
              </w:rPr>
              <w:t>生物技术</w:t>
            </w:r>
          </w:p>
        </w:tc>
        <w:tc>
          <w:tcPr>
            <w:tcW w:w="2100" w:type="dxa"/>
            <w:tcMar>
              <w:top w:w="80" w:type="dxa"/>
              <w:left w:w="100" w:type="dxa"/>
              <w:bottom w:w="80" w:type="dxa"/>
              <w:right w:w="100" w:type="dxa"/>
            </w:tcMar>
          </w:tcPr>
          <w:p w14:paraId="2A75AF76">
            <w:pPr>
              <w:spacing w:after="0" w:line="560" w:lineRule="exact"/>
              <w:jc w:val="center"/>
              <w:rPr>
                <w:rFonts w:hint="default" w:eastAsiaTheme="minorEastAsia"/>
                <w:color w:val="auto"/>
                <w:lang w:val="en-US" w:eastAsia="zh-CN"/>
              </w:rPr>
            </w:pPr>
            <w:r>
              <w:rPr>
                <w:rFonts w:hint="eastAsia" w:ascii="Times New Roman" w:hAnsi="Times New Roman" w:eastAsia="FangSong_GB2312" w:cs="Times New Roman"/>
                <w:color w:val="auto"/>
                <w:sz w:val="28"/>
                <w:szCs w:val="28"/>
                <w:lang w:val="en-US" w:eastAsia="zh-CN"/>
              </w:rPr>
              <w:t>198</w:t>
            </w:r>
          </w:p>
        </w:tc>
        <w:tc>
          <w:tcPr>
            <w:tcW w:w="2100" w:type="dxa"/>
            <w:tcMar>
              <w:top w:w="80" w:type="dxa"/>
              <w:left w:w="100" w:type="dxa"/>
              <w:bottom w:w="80" w:type="dxa"/>
              <w:right w:w="100" w:type="dxa"/>
            </w:tcMar>
          </w:tcPr>
          <w:p w14:paraId="1C872611">
            <w:pPr>
              <w:spacing w:after="0" w:line="560" w:lineRule="exact"/>
              <w:jc w:val="center"/>
              <w:rPr>
                <w:rFonts w:hint="default" w:eastAsiaTheme="minorEastAsia"/>
                <w:color w:val="auto"/>
                <w:lang w:val="en-US" w:eastAsia="zh-CN"/>
              </w:rPr>
            </w:pPr>
            <w:r>
              <w:rPr>
                <w:rFonts w:hint="eastAsia" w:ascii="Times New Roman" w:hAnsi="Times New Roman" w:eastAsia="FangSong_GB2312" w:cs="Times New Roman"/>
                <w:color w:val="auto"/>
                <w:sz w:val="28"/>
                <w:szCs w:val="28"/>
                <w:lang w:val="en-US" w:eastAsia="zh-CN"/>
              </w:rPr>
              <w:t>10</w:t>
            </w:r>
          </w:p>
        </w:tc>
      </w:tr>
    </w:tbl>
    <w:p w14:paraId="47BFE875">
      <w:pPr>
        <w:pStyle w:val="2"/>
        <w:spacing w:before="160" w:after="0"/>
        <w:rPr>
          <w:color w:val="auto"/>
        </w:rPr>
      </w:pPr>
      <w:r>
        <w:rPr>
          <w:rFonts w:hint="eastAsia" w:ascii="Times New Roman" w:hAnsi="Times New Roman" w:eastAsia="FangSong_GB2312" w:cs="Times New Roman"/>
          <w:b/>
          <w:bCs/>
          <w:color w:val="auto"/>
          <w:sz w:val="32"/>
          <w:szCs w:val="32"/>
          <w:lang w:val="en-US" w:eastAsia="zh-CN"/>
        </w:rPr>
        <w:t>三</w:t>
      </w:r>
      <w:r>
        <w:rPr>
          <w:rFonts w:ascii="Times New Roman" w:hAnsi="Times New Roman" w:eastAsia="FangSong_GB2312" w:cs="Times New Roman"/>
          <w:b/>
          <w:bCs/>
          <w:color w:val="auto"/>
          <w:sz w:val="32"/>
          <w:szCs w:val="32"/>
        </w:rPr>
        <w:t>、考核方式、内容及成绩比例</w:t>
      </w:r>
    </w:p>
    <w:p w14:paraId="17D9EBCE">
      <w:pPr>
        <w:spacing w:after="0" w:line="560" w:lineRule="exact"/>
        <w:ind w:firstLine="640"/>
        <w:rPr>
          <w:rFonts w:ascii="Times New Roman" w:hAnsi="Times New Roman" w:eastAsia="FangSong_GB2312" w:cs="Times New Roman"/>
          <w:color w:val="auto"/>
          <w:sz w:val="32"/>
          <w:szCs w:val="32"/>
        </w:rPr>
      </w:pPr>
      <w:r>
        <w:rPr>
          <w:rFonts w:ascii="Times New Roman" w:hAnsi="Times New Roman" w:eastAsia="FangSong_GB2312" w:cs="Times New Roman"/>
          <w:color w:val="auto"/>
          <w:sz w:val="32"/>
          <w:szCs w:val="32"/>
        </w:rPr>
        <w:t>考核由学校统一笔试与学院面试两部分构成。学校统一笔试科目为大学英语，学院面试主要</w:t>
      </w:r>
      <w:r>
        <w:rPr>
          <w:rFonts w:hint="eastAsia" w:ascii="Times New Roman" w:hAnsi="Times New Roman" w:eastAsia="FangSong_GB2312" w:cs="Times New Roman"/>
          <w:color w:val="auto"/>
          <w:sz w:val="32"/>
          <w:szCs w:val="32"/>
          <w:lang w:eastAsia="zh-CN"/>
        </w:rPr>
        <w:t>考查</w:t>
      </w:r>
      <w:r>
        <w:rPr>
          <w:rFonts w:ascii="Times New Roman" w:hAnsi="Times New Roman" w:eastAsia="FangSong_GB2312" w:cs="Times New Roman"/>
          <w:color w:val="auto"/>
          <w:sz w:val="32"/>
          <w:szCs w:val="32"/>
        </w:rPr>
        <w:t>学生的综合素质、专业认知与专业适应能力。学校英语笔试成绩和学院面试成绩均按百分制计分。</w:t>
      </w:r>
      <w:r>
        <w:rPr>
          <w:rFonts w:ascii="Times New Roman" w:hAnsi="Times New Roman" w:eastAsia="FangSong_GB2312" w:cs="Times New Roman"/>
          <w:color w:val="auto"/>
          <w:sz w:val="32"/>
          <w:szCs w:val="32"/>
          <w:lang w:val="en-US" w:eastAsia="zh-CN"/>
        </w:rPr>
        <w:t>面</w:t>
      </w:r>
      <w:r>
        <w:rPr>
          <w:rFonts w:hint="eastAsia" w:ascii="Times New Roman" w:hAnsi="Times New Roman" w:eastAsia="FangSong_GB2312" w:cs="Times New Roman"/>
          <w:color w:val="auto"/>
          <w:sz w:val="32"/>
          <w:szCs w:val="32"/>
          <w:lang w:val="en-US" w:eastAsia="zh-CN"/>
        </w:rPr>
        <w:t xml:space="preserve">试内容与分值如下：政治思想及学习态度（20 分）、专业基础（40 分）、语言表达与人际交往（10 分）、英语基础（10 分）、综合分析能力（20 分），合计 100 分。面试成绩低于 </w:t>
      </w:r>
      <w:r>
        <w:rPr>
          <w:rFonts w:hint="default" w:ascii="Times New Roman" w:hAnsi="Times New Roman" w:eastAsia="FangSong_GB2312" w:cs="Times New Roman"/>
          <w:color w:val="auto"/>
          <w:sz w:val="32"/>
          <w:szCs w:val="32"/>
          <w:lang w:val="en-US" w:eastAsia="zh-CN"/>
        </w:rPr>
        <w:t xml:space="preserve">60 </w:t>
      </w:r>
      <w:r>
        <w:rPr>
          <w:rFonts w:hint="eastAsia" w:ascii="Times New Roman" w:hAnsi="Times New Roman" w:eastAsia="FangSong_GB2312" w:cs="Times New Roman"/>
          <w:color w:val="auto"/>
          <w:sz w:val="32"/>
          <w:szCs w:val="32"/>
          <w:lang w:val="en-US" w:eastAsia="zh-CN"/>
        </w:rPr>
        <w:t>分者不予录取。</w:t>
      </w:r>
    </w:p>
    <w:p w14:paraId="3E30ED0C">
      <w:pPr>
        <w:spacing w:after="0" w:line="560" w:lineRule="exact"/>
        <w:ind w:firstLine="640"/>
        <w:rPr>
          <w:rFonts w:ascii="Times New Roman" w:hAnsi="Times New Roman" w:eastAsia="FangSong_GB2312" w:cs="Times New Roman"/>
          <w:color w:val="auto"/>
          <w:sz w:val="32"/>
          <w:szCs w:val="32"/>
          <w:lang w:val="en-US" w:eastAsia="zh-CN"/>
        </w:rPr>
      </w:pPr>
      <w:r>
        <w:rPr>
          <w:rFonts w:ascii="Times New Roman" w:hAnsi="Times New Roman" w:eastAsia="FangSong_GB2312" w:cs="Times New Roman"/>
          <w:color w:val="auto"/>
          <w:sz w:val="32"/>
          <w:szCs w:val="32"/>
          <w:lang w:val="en-US" w:eastAsia="zh-CN"/>
        </w:rPr>
        <w:t>考核总评成绩＝学校英语笔试成绩×50%＋学院面试成绩×50%。</w:t>
      </w:r>
    </w:p>
    <w:p w14:paraId="41BB8FA1">
      <w:pPr>
        <w:pStyle w:val="2"/>
        <w:spacing w:before="160" w:after="0"/>
        <w:rPr>
          <w:rFonts w:hint="eastAsia" w:eastAsia="FangSong_GB2312"/>
          <w:color w:val="auto"/>
          <w:lang w:eastAsia="zh-CN"/>
        </w:rPr>
      </w:pPr>
      <w:r>
        <w:rPr>
          <w:rFonts w:hint="eastAsia" w:ascii="Times New Roman" w:hAnsi="Times New Roman" w:eastAsia="FangSong_GB2312" w:cs="Times New Roman"/>
          <w:b/>
          <w:bCs/>
          <w:color w:val="auto"/>
          <w:sz w:val="32"/>
          <w:szCs w:val="32"/>
          <w:lang w:val="en-US" w:eastAsia="zh-CN"/>
        </w:rPr>
        <w:t>四</w:t>
      </w:r>
      <w:r>
        <w:rPr>
          <w:rFonts w:ascii="Times New Roman" w:hAnsi="Times New Roman" w:eastAsia="FangSong_GB2312" w:cs="Times New Roman"/>
          <w:b/>
          <w:bCs/>
          <w:color w:val="auto"/>
          <w:sz w:val="32"/>
          <w:szCs w:val="32"/>
        </w:rPr>
        <w:t>、考核</w:t>
      </w:r>
      <w:r>
        <w:rPr>
          <w:rFonts w:hint="eastAsia" w:ascii="Times New Roman" w:hAnsi="Times New Roman" w:eastAsia="FangSong_GB2312" w:cs="Times New Roman"/>
          <w:b/>
          <w:bCs/>
          <w:color w:val="auto"/>
          <w:sz w:val="32"/>
          <w:szCs w:val="32"/>
          <w:lang w:val="en-US" w:eastAsia="zh-CN"/>
        </w:rPr>
        <w:t>流程</w:t>
      </w:r>
    </w:p>
    <w:p w14:paraId="70A05443">
      <w:pPr>
        <w:spacing w:after="0" w:line="560" w:lineRule="exact"/>
        <w:ind w:firstLine="640"/>
        <w:rPr>
          <w:rFonts w:hint="eastAsia" w:ascii="Times New Roman" w:hAnsi="Times New Roman" w:eastAsia="FangSong_GB2312" w:cs="Times New Roman"/>
          <w:color w:val="auto"/>
          <w:sz w:val="32"/>
          <w:szCs w:val="32"/>
          <w:lang w:val="en-US" w:eastAsia="zh-CN"/>
        </w:rPr>
      </w:pPr>
      <w:r>
        <w:rPr>
          <w:rFonts w:hint="eastAsia" w:ascii="Times New Roman" w:hAnsi="Times New Roman" w:eastAsia="FangSong_GB2312" w:cs="Times New Roman"/>
          <w:color w:val="auto"/>
          <w:sz w:val="32"/>
          <w:szCs w:val="32"/>
          <w:lang w:val="en-US" w:eastAsia="zh-CN"/>
        </w:rPr>
        <w:t xml:space="preserve">所有资格审核通过的学生均须参加学校组织的大学英语考试。如资格审核通过后一志愿报名人数大于计划数的，英语考试成绩在计划数前 </w:t>
      </w:r>
      <w:r>
        <w:rPr>
          <w:rFonts w:hint="default" w:ascii="Times New Roman" w:hAnsi="Times New Roman" w:eastAsia="FangSong_GB2312" w:cs="Times New Roman"/>
          <w:color w:val="auto"/>
          <w:sz w:val="32"/>
          <w:szCs w:val="32"/>
          <w:lang w:val="en-US" w:eastAsia="zh-CN"/>
        </w:rPr>
        <w:t xml:space="preserve">1.5 </w:t>
      </w:r>
      <w:r>
        <w:rPr>
          <w:rFonts w:hint="eastAsia" w:ascii="Times New Roman" w:hAnsi="Times New Roman" w:eastAsia="FangSong_GB2312" w:cs="Times New Roman"/>
          <w:color w:val="auto"/>
          <w:sz w:val="32"/>
          <w:szCs w:val="32"/>
          <w:lang w:val="en-US" w:eastAsia="zh-CN"/>
        </w:rPr>
        <w:t xml:space="preserve">倍的学生参加学院组织的面试（末位同分者均参加）；如资格审核通过后一志愿报名人数小于计划数的，全员参加学院的面试。二志愿考核同上。 </w:t>
      </w:r>
    </w:p>
    <w:p w14:paraId="331603E6">
      <w:pPr>
        <w:spacing w:after="0" w:line="560" w:lineRule="exact"/>
        <w:ind w:firstLine="640"/>
        <w:rPr>
          <w:color w:val="auto"/>
        </w:rPr>
      </w:pPr>
      <w:r>
        <w:rPr>
          <w:rFonts w:ascii="Times New Roman" w:hAnsi="Times New Roman" w:eastAsia="FangSong_GB2312" w:cs="Times New Roman"/>
          <w:color w:val="auto"/>
          <w:sz w:val="32"/>
          <w:szCs w:val="32"/>
        </w:rPr>
        <w:t>面试当天，学生提前10分钟进入候考室，接受身份核验，随机抽签确定面试顺序，依次入场。面试结束后不得返回候考室。</w:t>
      </w:r>
    </w:p>
    <w:p w14:paraId="3E255827">
      <w:pPr>
        <w:spacing w:after="0" w:line="560" w:lineRule="exact"/>
        <w:ind w:firstLine="640"/>
        <w:rPr>
          <w:rFonts w:hint="eastAsia" w:ascii="Times New Roman" w:hAnsi="Times New Roman" w:eastAsia="FangSong_GB2312" w:cs="Times New Roman"/>
          <w:color w:val="auto"/>
          <w:sz w:val="32"/>
          <w:szCs w:val="32"/>
        </w:rPr>
      </w:pPr>
      <w:r>
        <w:rPr>
          <w:rFonts w:ascii="Times New Roman" w:hAnsi="Times New Roman" w:eastAsia="FangSong_GB2312" w:cs="Times New Roman"/>
          <w:color w:val="auto"/>
          <w:sz w:val="32"/>
          <w:szCs w:val="32"/>
        </w:rPr>
        <w:t>考核专家依据已公布的考核内容</w:t>
      </w:r>
      <w:bookmarkStart w:id="0" w:name="_GoBack"/>
      <w:bookmarkEnd w:id="0"/>
      <w:r>
        <w:rPr>
          <w:rFonts w:ascii="Times New Roman" w:hAnsi="Times New Roman" w:eastAsia="FangSong_GB2312" w:cs="Times New Roman"/>
          <w:color w:val="auto"/>
          <w:sz w:val="32"/>
          <w:szCs w:val="32"/>
        </w:rPr>
        <w:t>和学生现场表现独立评分，填入《面试评分表》，评分保留整数。</w:t>
      </w:r>
      <w:r>
        <w:rPr>
          <w:rFonts w:hint="eastAsia" w:ascii="Times New Roman" w:hAnsi="Times New Roman" w:eastAsia="FangSong_GB2312" w:cs="Times New Roman"/>
          <w:color w:val="auto"/>
          <w:sz w:val="32"/>
          <w:szCs w:val="32"/>
        </w:rPr>
        <w:t>考核专家根据学生回答问题的情况及表现进行打分，打分填入《面试评分表》（评分保留整数）。面试成绩为专家打分的平均分（保留两位小</w:t>
      </w:r>
    </w:p>
    <w:p w14:paraId="2997B811">
      <w:pPr>
        <w:spacing w:after="0" w:line="560" w:lineRule="exact"/>
        <w:rPr>
          <w:color w:val="auto"/>
        </w:rPr>
      </w:pPr>
      <w:r>
        <w:rPr>
          <w:rFonts w:hint="eastAsia" w:ascii="Times New Roman" w:hAnsi="Times New Roman" w:eastAsia="FangSong_GB2312" w:cs="Times New Roman"/>
          <w:color w:val="auto"/>
          <w:sz w:val="32"/>
          <w:szCs w:val="32"/>
        </w:rPr>
        <w:t>数，四舍五入），由教学秘书填入《面试评分成绩汇总表》。</w:t>
      </w:r>
      <w:r>
        <w:rPr>
          <w:rFonts w:hint="eastAsia" w:ascii="Times New Roman" w:hAnsi="Times New Roman" w:eastAsia="FangSong_GB2312" w:cs="Times New Roman"/>
          <w:color w:val="auto"/>
          <w:sz w:val="32"/>
          <w:szCs w:val="32"/>
          <w:lang w:val="en-US" w:eastAsia="zh-CN"/>
        </w:rPr>
        <w:t>面试结束后，</w:t>
      </w:r>
      <w:r>
        <w:rPr>
          <w:rFonts w:ascii="Times New Roman" w:hAnsi="Times New Roman" w:eastAsia="FangSong_GB2312" w:cs="Times New Roman"/>
          <w:color w:val="auto"/>
          <w:sz w:val="32"/>
          <w:szCs w:val="32"/>
        </w:rPr>
        <w:t>教学秘书根据学校英语笔试成绩与学院面试成绩计算考核总评成绩，记入《转专业考核总评成绩表》。</w:t>
      </w:r>
    </w:p>
    <w:p w14:paraId="162D5ECE">
      <w:pPr>
        <w:pStyle w:val="2"/>
        <w:spacing w:before="160" w:after="0"/>
        <w:rPr>
          <w:color w:val="auto"/>
        </w:rPr>
      </w:pPr>
      <w:r>
        <w:rPr>
          <w:rFonts w:hint="eastAsia" w:ascii="Times New Roman" w:hAnsi="Times New Roman" w:eastAsia="FangSong_GB2312" w:cs="Times New Roman"/>
          <w:b/>
          <w:bCs/>
          <w:color w:val="auto"/>
          <w:sz w:val="32"/>
          <w:szCs w:val="32"/>
          <w:lang w:val="en-US" w:eastAsia="zh-CN"/>
        </w:rPr>
        <w:t>五</w:t>
      </w:r>
      <w:r>
        <w:rPr>
          <w:rFonts w:ascii="Times New Roman" w:hAnsi="Times New Roman" w:eastAsia="FangSong_GB2312" w:cs="Times New Roman"/>
          <w:b/>
          <w:bCs/>
          <w:color w:val="auto"/>
          <w:sz w:val="32"/>
          <w:szCs w:val="32"/>
        </w:rPr>
        <w:t>、录取原则</w:t>
      </w:r>
    </w:p>
    <w:p w14:paraId="04490640">
      <w:pPr>
        <w:spacing w:after="0" w:line="560" w:lineRule="exact"/>
        <w:ind w:firstLine="640"/>
        <w:rPr>
          <w:rFonts w:hint="eastAsia" w:ascii="Times New Roman" w:hAnsi="Times New Roman" w:eastAsia="FangSong_GB2312" w:cs="Times New Roman"/>
          <w:color w:val="auto"/>
          <w:sz w:val="32"/>
          <w:szCs w:val="32"/>
        </w:rPr>
      </w:pPr>
      <w:r>
        <w:rPr>
          <w:rFonts w:hint="eastAsia" w:ascii="Times New Roman" w:hAnsi="Times New Roman" w:eastAsia="FangSong_GB2312" w:cs="Times New Roman"/>
          <w:color w:val="auto"/>
          <w:sz w:val="32"/>
          <w:szCs w:val="32"/>
        </w:rPr>
        <w:t>录取成绩遵循志愿优先的原则，优先从第一志愿中按</w:t>
      </w:r>
      <w:r>
        <w:rPr>
          <w:rFonts w:hint="eastAsia" w:ascii="Times New Roman" w:hAnsi="Times New Roman" w:eastAsia="FangSong_GB2312" w:cs="Times New Roman"/>
          <w:color w:val="auto"/>
          <w:sz w:val="32"/>
          <w:szCs w:val="32"/>
          <w:lang w:val="en-US" w:eastAsia="zh-CN"/>
        </w:rPr>
        <w:t>考核总评成绩</w:t>
      </w:r>
      <w:r>
        <w:rPr>
          <w:rFonts w:hint="eastAsia" w:ascii="Times New Roman" w:hAnsi="Times New Roman" w:eastAsia="FangSong_GB2312" w:cs="Times New Roman"/>
          <w:color w:val="auto"/>
          <w:sz w:val="32"/>
          <w:szCs w:val="32"/>
        </w:rPr>
        <w:t>由高到低排序确定拟转入学生名单，第一志愿未录满的情况下从第二志愿按考核总分从高到低依次递补，末位同分者进行第二轮复试，依此确定转入名单。</w:t>
      </w:r>
    </w:p>
    <w:p w14:paraId="41F52B3B">
      <w:pPr>
        <w:pStyle w:val="2"/>
        <w:spacing w:before="160" w:after="0"/>
        <w:rPr>
          <w:color w:val="auto"/>
        </w:rPr>
      </w:pPr>
      <w:r>
        <w:rPr>
          <w:rFonts w:hint="eastAsia" w:ascii="Times New Roman" w:hAnsi="Times New Roman" w:eastAsia="FangSong_GB2312" w:cs="Times New Roman"/>
          <w:b/>
          <w:bCs/>
          <w:color w:val="auto"/>
          <w:sz w:val="32"/>
          <w:szCs w:val="32"/>
          <w:lang w:val="en-US" w:eastAsia="zh-CN"/>
        </w:rPr>
        <w:t>六</w:t>
      </w:r>
      <w:r>
        <w:rPr>
          <w:rFonts w:ascii="Times New Roman" w:hAnsi="Times New Roman" w:eastAsia="FangSong_GB2312" w:cs="Times New Roman"/>
          <w:b/>
          <w:bCs/>
          <w:color w:val="auto"/>
          <w:sz w:val="32"/>
          <w:szCs w:val="32"/>
        </w:rPr>
        <w:t>、考核专家组成及邀请方式</w:t>
      </w:r>
    </w:p>
    <w:p w14:paraId="36C539A7">
      <w:pPr>
        <w:spacing w:after="0" w:line="560" w:lineRule="exact"/>
        <w:ind w:firstLine="640"/>
        <w:rPr>
          <w:color w:val="auto"/>
        </w:rPr>
      </w:pPr>
      <w:r>
        <w:rPr>
          <w:rFonts w:ascii="Times New Roman" w:hAnsi="Times New Roman" w:eastAsia="FangSong_GB2312" w:cs="Times New Roman"/>
          <w:color w:val="auto"/>
          <w:sz w:val="32"/>
          <w:szCs w:val="32"/>
        </w:rPr>
        <w:t>学院成立转专业考核工作领导小组，负责转入学生的资格审核、考核组织和录取等工作。考核专家库由学院相关领导、教学委员会代表及各专业教师代表组成，共14人。每组面试专家不少于5人。考核时间、地点确定后，由教学秘书以QQ、短信或电话方式通知有关专家。</w:t>
      </w:r>
    </w:p>
    <w:p w14:paraId="542FAE9C">
      <w:pPr>
        <w:pStyle w:val="2"/>
        <w:spacing w:before="160" w:after="0"/>
        <w:rPr>
          <w:color w:val="auto"/>
        </w:rPr>
      </w:pPr>
      <w:r>
        <w:rPr>
          <w:rFonts w:hint="eastAsia" w:ascii="Times New Roman" w:hAnsi="Times New Roman" w:eastAsia="FangSong_GB2312" w:cs="Times New Roman"/>
          <w:b/>
          <w:bCs/>
          <w:color w:val="auto"/>
          <w:sz w:val="32"/>
          <w:szCs w:val="32"/>
          <w:lang w:val="en-US" w:eastAsia="zh-CN"/>
        </w:rPr>
        <w:t>七</w:t>
      </w:r>
      <w:r>
        <w:rPr>
          <w:rFonts w:ascii="Times New Roman" w:hAnsi="Times New Roman" w:eastAsia="FangSong_GB2312" w:cs="Times New Roman"/>
          <w:b/>
          <w:bCs/>
          <w:color w:val="auto"/>
          <w:sz w:val="32"/>
          <w:szCs w:val="32"/>
        </w:rPr>
        <w:t>、保密措施与纪律要求</w:t>
      </w:r>
    </w:p>
    <w:p w14:paraId="016BB9FC">
      <w:pPr>
        <w:pStyle w:val="2"/>
        <w:spacing w:before="160" w:after="0"/>
        <w:rPr>
          <w:color w:val="auto"/>
        </w:rPr>
      </w:pPr>
      <w:r>
        <w:rPr>
          <w:rFonts w:ascii="Times New Roman" w:hAnsi="Times New Roman" w:eastAsia="FangSong_GB2312" w:cs="Times New Roman"/>
          <w:b/>
          <w:bCs/>
          <w:color w:val="auto"/>
          <w:sz w:val="32"/>
          <w:szCs w:val="32"/>
        </w:rPr>
        <w:t>（一）面试专家的管理与保密</w:t>
      </w:r>
    </w:p>
    <w:p w14:paraId="69BBC26F">
      <w:pPr>
        <w:spacing w:after="0" w:line="560" w:lineRule="exact"/>
        <w:ind w:firstLine="640"/>
        <w:rPr>
          <w:color w:val="auto"/>
        </w:rPr>
      </w:pPr>
      <w:r>
        <w:rPr>
          <w:rFonts w:ascii="Times New Roman" w:hAnsi="Times New Roman" w:eastAsia="FangSong_GB2312" w:cs="Times New Roman"/>
          <w:color w:val="auto"/>
          <w:sz w:val="32"/>
          <w:szCs w:val="32"/>
        </w:rPr>
        <w:t>面试专家名单产生后严格保密，相关人员不得向任何单位和个人泄露专家信息。面试专家接到通知后，不得向他人透露本人担任面试工作的信息，不得接受任何有关面试内容的咨询。面试结束后，专家须将评分表等所有面试材料交还</w:t>
      </w:r>
      <w:r>
        <w:rPr>
          <w:rFonts w:hint="eastAsia" w:ascii="Times New Roman" w:hAnsi="Times New Roman" w:eastAsia="FangSong_GB2312" w:cs="Times New Roman"/>
          <w:color w:val="auto"/>
          <w:sz w:val="32"/>
          <w:szCs w:val="32"/>
          <w:lang w:val="en-US" w:eastAsia="zh-CN"/>
        </w:rPr>
        <w:t>教学秘书</w:t>
      </w:r>
      <w:r>
        <w:rPr>
          <w:rFonts w:ascii="Times New Roman" w:hAnsi="Times New Roman" w:eastAsia="FangSong_GB2312" w:cs="Times New Roman"/>
          <w:color w:val="auto"/>
          <w:sz w:val="32"/>
          <w:szCs w:val="32"/>
        </w:rPr>
        <w:t>。</w:t>
      </w:r>
    </w:p>
    <w:p w14:paraId="78288063">
      <w:pPr>
        <w:pStyle w:val="2"/>
        <w:spacing w:before="160" w:after="0"/>
        <w:rPr>
          <w:color w:val="auto"/>
        </w:rPr>
      </w:pPr>
      <w:r>
        <w:rPr>
          <w:rFonts w:ascii="Times New Roman" w:hAnsi="Times New Roman" w:eastAsia="FangSong_GB2312" w:cs="Times New Roman"/>
          <w:b/>
          <w:bCs/>
          <w:color w:val="auto"/>
          <w:sz w:val="32"/>
          <w:szCs w:val="32"/>
        </w:rPr>
        <w:t>（二）考务管理人员的保密要求</w:t>
      </w:r>
    </w:p>
    <w:p w14:paraId="7E859D4E">
      <w:pPr>
        <w:spacing w:after="0" w:line="560" w:lineRule="exact"/>
        <w:ind w:firstLine="640"/>
        <w:rPr>
          <w:color w:val="auto"/>
        </w:rPr>
      </w:pPr>
      <w:r>
        <w:rPr>
          <w:rFonts w:ascii="Times New Roman" w:hAnsi="Times New Roman" w:eastAsia="FangSong_GB2312" w:cs="Times New Roman"/>
          <w:color w:val="auto"/>
          <w:sz w:val="32"/>
          <w:szCs w:val="32"/>
        </w:rPr>
        <w:t>所有参与面试工作人员不得向考生透露面试专家名单、面试试题及其他与考核相关的非公开信息</w:t>
      </w:r>
      <w:r>
        <w:rPr>
          <w:rFonts w:hint="eastAsia" w:ascii="Times New Roman" w:hAnsi="Times New Roman" w:eastAsia="FangSong_GB2312" w:cs="Times New Roman"/>
          <w:color w:val="auto"/>
          <w:sz w:val="32"/>
          <w:szCs w:val="32"/>
          <w:lang w:eastAsia="zh-CN"/>
        </w:rPr>
        <w:t>。</w:t>
      </w:r>
      <w:r>
        <w:rPr>
          <w:rFonts w:ascii="Times New Roman" w:hAnsi="Times New Roman" w:eastAsia="FangSong_GB2312" w:cs="Times New Roman"/>
          <w:color w:val="auto"/>
          <w:sz w:val="32"/>
          <w:szCs w:val="32"/>
        </w:rPr>
        <w:t>面试期间，</w:t>
      </w:r>
      <w:r>
        <w:rPr>
          <w:rFonts w:hint="eastAsia" w:ascii="Times New Roman" w:hAnsi="Times New Roman" w:eastAsia="FangSong_GB2312" w:cs="Times New Roman"/>
          <w:color w:val="auto"/>
          <w:sz w:val="32"/>
          <w:szCs w:val="32"/>
          <w:lang w:val="en-US" w:eastAsia="zh-CN"/>
        </w:rPr>
        <w:t>等待</w:t>
      </w:r>
      <w:r>
        <w:rPr>
          <w:rFonts w:ascii="Times New Roman" w:hAnsi="Times New Roman" w:eastAsia="FangSong_GB2312" w:cs="Times New Roman"/>
          <w:color w:val="auto"/>
          <w:sz w:val="32"/>
          <w:szCs w:val="32"/>
        </w:rPr>
        <w:t>室、面试室实行封闭管理，严禁无关人员进入。</w:t>
      </w:r>
    </w:p>
    <w:p w14:paraId="3977603B">
      <w:pPr>
        <w:pStyle w:val="2"/>
        <w:spacing w:before="160" w:after="0"/>
        <w:rPr>
          <w:color w:val="auto"/>
        </w:rPr>
      </w:pPr>
      <w:r>
        <w:rPr>
          <w:rFonts w:ascii="Times New Roman" w:hAnsi="Times New Roman" w:eastAsia="FangSong_GB2312" w:cs="Times New Roman"/>
          <w:b/>
          <w:bCs/>
          <w:color w:val="auto"/>
          <w:sz w:val="32"/>
          <w:szCs w:val="32"/>
        </w:rPr>
        <w:t>（三）考生纪律</w:t>
      </w:r>
    </w:p>
    <w:p w14:paraId="05817B11">
      <w:pPr>
        <w:spacing w:after="0" w:line="560" w:lineRule="exact"/>
        <w:ind w:firstLine="640"/>
        <w:rPr>
          <w:color w:val="auto"/>
        </w:rPr>
      </w:pPr>
      <w:r>
        <w:rPr>
          <w:rFonts w:ascii="Times New Roman" w:hAnsi="Times New Roman" w:eastAsia="FangSong_GB2312" w:cs="Times New Roman"/>
          <w:color w:val="auto"/>
          <w:sz w:val="32"/>
          <w:szCs w:val="32"/>
        </w:rPr>
        <w:t>考生不得通过任何渠道打探、咨询面试专家名单及试题内容。进入</w:t>
      </w:r>
      <w:r>
        <w:rPr>
          <w:rFonts w:hint="eastAsia" w:ascii="Times New Roman" w:hAnsi="Times New Roman" w:eastAsia="FangSong_GB2312" w:cs="Times New Roman"/>
          <w:color w:val="auto"/>
          <w:sz w:val="32"/>
          <w:szCs w:val="32"/>
          <w:lang w:val="en-US" w:eastAsia="zh-CN"/>
        </w:rPr>
        <w:t>面试室</w:t>
      </w:r>
      <w:r>
        <w:rPr>
          <w:rFonts w:ascii="Times New Roman" w:hAnsi="Times New Roman" w:eastAsia="FangSong_GB2312" w:cs="Times New Roman"/>
          <w:color w:val="auto"/>
          <w:sz w:val="32"/>
          <w:szCs w:val="32"/>
        </w:rPr>
        <w:t>前，须将手机、智能手表等通讯及电子设备交工作人员统一保管。</w:t>
      </w:r>
    </w:p>
    <w:p w14:paraId="580C5E19">
      <w:pPr>
        <w:pStyle w:val="2"/>
        <w:spacing w:before="160" w:after="0"/>
        <w:rPr>
          <w:color w:val="auto"/>
        </w:rPr>
      </w:pPr>
      <w:r>
        <w:rPr>
          <w:rFonts w:hint="eastAsia" w:ascii="Times New Roman" w:hAnsi="Times New Roman" w:eastAsia="FangSong_GB2312" w:cs="Times New Roman"/>
          <w:b/>
          <w:bCs/>
          <w:color w:val="auto"/>
          <w:sz w:val="32"/>
          <w:szCs w:val="32"/>
          <w:lang w:val="en-US" w:eastAsia="zh-CN"/>
        </w:rPr>
        <w:t>八</w:t>
      </w:r>
      <w:r>
        <w:rPr>
          <w:rFonts w:ascii="Times New Roman" w:hAnsi="Times New Roman" w:eastAsia="FangSong_GB2312" w:cs="Times New Roman"/>
          <w:b/>
          <w:bCs/>
          <w:color w:val="auto"/>
          <w:sz w:val="32"/>
          <w:szCs w:val="32"/>
        </w:rPr>
        <w:t>、拟录取资格复核与后续管理</w:t>
      </w:r>
    </w:p>
    <w:p w14:paraId="5E748CDE">
      <w:pPr>
        <w:spacing w:after="0" w:line="560" w:lineRule="exact"/>
        <w:ind w:firstLine="640"/>
        <w:rPr>
          <w:rFonts w:hint="eastAsia" w:ascii="Times New Roman" w:hAnsi="Times New Roman" w:eastAsia="FangSong_GB2312" w:cs="Times New Roman"/>
          <w:color w:val="auto"/>
          <w:sz w:val="32"/>
          <w:szCs w:val="32"/>
          <w:lang w:eastAsia="zh-CN"/>
        </w:rPr>
      </w:pPr>
      <w:r>
        <w:rPr>
          <w:rFonts w:ascii="Times New Roman" w:hAnsi="Times New Roman" w:eastAsia="FangSong_GB2312" w:cs="Times New Roman"/>
          <w:color w:val="auto"/>
          <w:sz w:val="32"/>
          <w:szCs w:val="32"/>
        </w:rPr>
        <w:t>本学期期末成绩公布后，学院对已公示名单学生的当前学期成绩进行复核。凡出现人才培养方案规定学期（含当前学期）修读课程（通识教育选修课除外）不合格</w:t>
      </w:r>
      <w:r>
        <w:rPr>
          <w:rFonts w:hint="eastAsia" w:ascii="Times New Roman" w:hAnsi="Times New Roman" w:eastAsia="FangSong_GB2312" w:cs="Times New Roman"/>
          <w:color w:val="auto"/>
          <w:sz w:val="32"/>
          <w:szCs w:val="32"/>
          <w:lang w:val="en-US" w:eastAsia="zh-CN"/>
        </w:rPr>
        <w:t>等</w:t>
      </w:r>
      <w:r>
        <w:rPr>
          <w:rFonts w:ascii="Times New Roman" w:hAnsi="Times New Roman" w:eastAsia="FangSong_GB2312" w:cs="Times New Roman"/>
          <w:color w:val="auto"/>
          <w:sz w:val="32"/>
          <w:szCs w:val="32"/>
        </w:rPr>
        <w:t>不符合转专业资格情形的，取消其拟录取资格</w:t>
      </w:r>
      <w:r>
        <w:rPr>
          <w:rFonts w:hint="eastAsia" w:ascii="Times New Roman" w:hAnsi="Times New Roman" w:eastAsia="FangSong_GB2312" w:cs="Times New Roman"/>
          <w:color w:val="auto"/>
          <w:sz w:val="32"/>
          <w:szCs w:val="32"/>
          <w:lang w:eastAsia="zh-CN"/>
        </w:rPr>
        <w:t>。</w:t>
      </w:r>
    </w:p>
    <w:p w14:paraId="71E66E1B">
      <w:pPr>
        <w:pStyle w:val="2"/>
        <w:spacing w:before="160" w:after="0"/>
        <w:rPr>
          <w:color w:val="auto"/>
        </w:rPr>
      </w:pPr>
      <w:r>
        <w:rPr>
          <w:rFonts w:hint="eastAsia" w:ascii="Times New Roman" w:hAnsi="Times New Roman" w:eastAsia="FangSong_GB2312" w:cs="Times New Roman"/>
          <w:b/>
          <w:bCs/>
          <w:color w:val="auto"/>
          <w:sz w:val="32"/>
          <w:szCs w:val="32"/>
          <w:lang w:val="en-US" w:eastAsia="zh-CN"/>
        </w:rPr>
        <w:t>九</w:t>
      </w:r>
      <w:r>
        <w:rPr>
          <w:rFonts w:ascii="Times New Roman" w:hAnsi="Times New Roman" w:eastAsia="FangSong_GB2312" w:cs="Times New Roman"/>
          <w:b/>
          <w:bCs/>
          <w:color w:val="auto"/>
          <w:sz w:val="32"/>
          <w:szCs w:val="32"/>
        </w:rPr>
        <w:t>、方案实施与监督</w:t>
      </w:r>
    </w:p>
    <w:p w14:paraId="26779673">
      <w:pPr>
        <w:spacing w:after="0" w:line="560" w:lineRule="exact"/>
        <w:ind w:firstLine="640"/>
        <w:rPr>
          <w:color w:val="auto"/>
        </w:rPr>
      </w:pPr>
      <w:r>
        <w:rPr>
          <w:rFonts w:ascii="Times New Roman" w:hAnsi="Times New Roman" w:eastAsia="FangSong_GB2312" w:cs="Times New Roman"/>
          <w:color w:val="auto"/>
          <w:sz w:val="32"/>
          <w:szCs w:val="32"/>
        </w:rPr>
        <w:t>本方案适用于2026—2027—1学期转专业工作，由生命科学学院（海洋学院）负责解释。学院设立咨询及监督举报电话。</w:t>
      </w:r>
    </w:p>
    <w:p w14:paraId="61D26621">
      <w:pPr>
        <w:spacing w:after="0" w:line="560" w:lineRule="exact"/>
        <w:ind w:firstLine="640"/>
        <w:rPr>
          <w:color w:val="auto"/>
        </w:rPr>
      </w:pPr>
      <w:r>
        <w:rPr>
          <w:rFonts w:ascii="Times New Roman" w:hAnsi="Times New Roman" w:eastAsia="FangSong_GB2312" w:cs="Times New Roman"/>
          <w:color w:val="auto"/>
          <w:sz w:val="32"/>
          <w:szCs w:val="32"/>
        </w:rPr>
        <w:t>学院咨询电话：0513-85012812（孙文夏、李江丹）。</w:t>
      </w:r>
    </w:p>
    <w:p w14:paraId="180C7F43">
      <w:pPr>
        <w:spacing w:after="0" w:line="560" w:lineRule="exact"/>
        <w:ind w:firstLine="640"/>
        <w:rPr>
          <w:color w:val="auto"/>
        </w:rPr>
      </w:pPr>
      <w:r>
        <w:rPr>
          <w:rFonts w:ascii="Times New Roman" w:hAnsi="Times New Roman" w:eastAsia="FangSong_GB2312" w:cs="Times New Roman"/>
          <w:color w:val="auto"/>
          <w:sz w:val="32"/>
          <w:szCs w:val="32"/>
        </w:rPr>
        <w:t>学院举报电话：13773632528（周蓉）。</w:t>
      </w:r>
    </w:p>
    <w:p w14:paraId="014C64B1">
      <w:pPr>
        <w:spacing w:after="0" w:line="560" w:lineRule="exact"/>
        <w:ind w:firstLine="640"/>
        <w:rPr>
          <w:color w:val="auto"/>
        </w:rPr>
      </w:pPr>
      <w:r>
        <w:rPr>
          <w:rFonts w:ascii="Times New Roman" w:hAnsi="Times New Roman" w:eastAsia="FangSong_GB2312" w:cs="Times New Roman"/>
          <w:color w:val="auto"/>
          <w:sz w:val="32"/>
          <w:szCs w:val="32"/>
        </w:rPr>
        <w:t>生命科学学院（海洋学院）转专业转入QQ群号：1061935974，群二维码如下：</w:t>
      </w:r>
    </w:p>
    <w:p w14:paraId="2A9758D6">
      <w:pPr>
        <w:spacing w:before="100" w:after="100"/>
        <w:jc w:val="center"/>
        <w:rPr>
          <w:rFonts w:hint="eastAsia" w:eastAsiaTheme="minorEastAsia"/>
          <w:color w:val="auto"/>
          <w:lang w:eastAsia="zh-CN"/>
        </w:rPr>
      </w:pPr>
      <w:r>
        <w:rPr>
          <w:rFonts w:hint="eastAsia" w:eastAsiaTheme="minorEastAsia"/>
          <w:color w:val="auto"/>
          <w:lang w:eastAsia="zh-CN"/>
        </w:rPr>
        <w:drawing>
          <wp:inline distT="0" distB="0" distL="114300" distR="114300">
            <wp:extent cx="1216025" cy="2162175"/>
            <wp:effectExtent l="0" t="0" r="3175" b="9525"/>
            <wp:docPr id="1" name="图片 1" descr="DownloadsIMG_6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ownloadsIMG_6271(1)"/>
                    <pic:cNvPicPr>
                      <a:picLocks noChangeAspect="1"/>
                    </pic:cNvPicPr>
                  </pic:nvPicPr>
                  <pic:blipFill>
                    <a:blip r:embed="rId6"/>
                    <a:stretch>
                      <a:fillRect/>
                    </a:stretch>
                  </pic:blipFill>
                  <pic:spPr>
                    <a:xfrm>
                      <a:off x="0" y="0"/>
                      <a:ext cx="1216025" cy="2162175"/>
                    </a:xfrm>
                    <a:prstGeom prst="rect">
                      <a:avLst/>
                    </a:prstGeom>
                  </pic:spPr>
                </pic:pic>
              </a:graphicData>
            </a:graphic>
          </wp:inline>
        </w:drawing>
      </w:r>
    </w:p>
    <w:p w14:paraId="741A40E0">
      <w:pPr>
        <w:spacing w:after="0" w:line="560" w:lineRule="exact"/>
        <w:ind w:firstLine="640"/>
        <w:rPr>
          <w:color w:val="auto"/>
        </w:rPr>
      </w:pPr>
      <w:r>
        <w:rPr>
          <w:rFonts w:ascii="Times New Roman" w:hAnsi="Times New Roman" w:eastAsia="FangSong_GB2312" w:cs="Times New Roman"/>
          <w:color w:val="auto"/>
          <w:sz w:val="32"/>
          <w:szCs w:val="32"/>
        </w:rPr>
        <w:t>附：生命科学学院（海洋学院）本科生转专业考核工作领导小组及考核专家库名单</w:t>
      </w:r>
    </w:p>
    <w:p w14:paraId="1B2A3D8B">
      <w:pPr>
        <w:spacing w:after="0" w:line="560" w:lineRule="exact"/>
        <w:ind w:firstLine="640"/>
        <w:rPr>
          <w:color w:val="auto"/>
        </w:rPr>
      </w:pPr>
      <w:r>
        <w:rPr>
          <w:rFonts w:ascii="Times New Roman" w:hAnsi="Times New Roman" w:eastAsia="FangSong_GB2312" w:cs="Times New Roman"/>
          <w:color w:val="auto"/>
          <w:sz w:val="32"/>
          <w:szCs w:val="32"/>
        </w:rPr>
        <w:t>组长：金玲、袁卉华。</w:t>
      </w:r>
    </w:p>
    <w:p w14:paraId="2DE05AF7">
      <w:pPr>
        <w:spacing w:after="0" w:line="560" w:lineRule="exact"/>
        <w:ind w:firstLine="640"/>
        <w:rPr>
          <w:color w:val="auto"/>
        </w:rPr>
      </w:pPr>
      <w:r>
        <w:rPr>
          <w:rFonts w:ascii="Times New Roman" w:hAnsi="Times New Roman" w:eastAsia="FangSong_GB2312" w:cs="Times New Roman"/>
          <w:color w:val="auto"/>
          <w:sz w:val="32"/>
          <w:szCs w:val="32"/>
        </w:rPr>
        <w:t>成员：张健、邓自发、黄玲、汪保华、孙利军、于丽娟、钟非、蒋茂荣、宣红云、常燕、施欣驰、魏辉。</w:t>
      </w:r>
    </w:p>
    <w:p w14:paraId="481E999F">
      <w:pPr>
        <w:spacing w:before="400" w:after="0" w:line="560" w:lineRule="exact"/>
        <w:jc w:val="right"/>
        <w:rPr>
          <w:color w:val="auto"/>
        </w:rPr>
      </w:pPr>
      <w:r>
        <w:rPr>
          <w:rFonts w:ascii="Times New Roman" w:hAnsi="Times New Roman" w:eastAsia="FangSong_GB2312" w:cs="Times New Roman"/>
          <w:color w:val="auto"/>
          <w:sz w:val="32"/>
          <w:szCs w:val="32"/>
        </w:rPr>
        <w:t>生命科学学院（海洋学院）</w:t>
      </w:r>
    </w:p>
    <w:p w14:paraId="1A5B68A1">
      <w:pPr>
        <w:spacing w:after="0" w:line="560" w:lineRule="exact"/>
        <w:jc w:val="right"/>
        <w:rPr>
          <w:color w:val="auto"/>
        </w:rPr>
      </w:pPr>
      <w:r>
        <w:rPr>
          <w:rFonts w:ascii="Times New Roman" w:hAnsi="Times New Roman" w:eastAsia="FangSong_GB2312" w:cs="Times New Roman"/>
          <w:color w:val="auto"/>
          <w:sz w:val="32"/>
          <w:szCs w:val="32"/>
        </w:rPr>
        <w:t>2026年10月26日</w:t>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85B6F">
    <w:pPr>
      <w:spacing w:after="0" w:line="560" w:lineRule="exact"/>
      <w:jc w:val="center"/>
    </w:pPr>
    <w:r>
      <w:rPr>
        <w:rFonts w:ascii="Times New Roman" w:hAnsi="Times New Roman" w:eastAsia="FangSong_GB2312" w:cs="Times New Roman"/>
        <w:sz w:val="20"/>
        <w:szCs w:val="20"/>
      </w:rPr>
      <w:fldChar w:fldCharType="begin"/>
    </w:r>
    <w:r>
      <w:rPr>
        <w:rFonts w:ascii="Times New Roman" w:hAnsi="Times New Roman" w:eastAsia="FangSong_GB2312" w:cs="Times New Roman"/>
        <w:sz w:val="20"/>
        <w:szCs w:val="20"/>
      </w:rPr>
      <w:instrText xml:space="preserve">PAGE</w:instrText>
    </w:r>
    <w:r>
      <w:rPr>
        <w:rFonts w:ascii="Times New Roman" w:hAnsi="Times New Roman" w:eastAsia="FangSong_GB2312" w:cs="Times New Roman"/>
        <w:sz w:val="20"/>
        <w:szCs w:val="20"/>
      </w:rPr>
      <w:fldChar w:fldCharType="separate"/>
    </w:r>
    <w:r>
      <w:rPr>
        <w:rFonts w:ascii="Times New Roman" w:hAnsi="Times New Roman" w:eastAsia="FangSong_GB2312"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DEE38">
    <w:pPr>
      <w:spacing w:after="0" w:line="560" w:lineRule="exact"/>
      <w:jc w:val="center"/>
    </w:pPr>
    <w:r>
      <w:rPr>
        <w:rFonts w:ascii="Times New Roman" w:hAnsi="Times New Roman" w:eastAsia="FangSong_GB2312" w:cs="Times New Roman"/>
        <w:sz w:val="18"/>
        <w:szCs w:val="18"/>
      </w:rPr>
      <w:t>南通大学生命科学学院（海洋学院）2026级全日制普通本科生转专业方案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AE05A5D"/>
    <w:rsid w:val="1078139D"/>
    <w:rsid w:val="13BB7B66"/>
    <w:rsid w:val="2A465F84"/>
    <w:rsid w:val="2E84720F"/>
    <w:rsid w:val="2FDC6A42"/>
    <w:rsid w:val="31C111EA"/>
    <w:rsid w:val="3A3B679F"/>
    <w:rsid w:val="4A2C089A"/>
    <w:rsid w:val="4E094A4F"/>
    <w:rsid w:val="50212524"/>
    <w:rsid w:val="5A010086"/>
    <w:rsid w:val="5F5A15AE"/>
    <w:rsid w:val="63935466"/>
    <w:rsid w:val="68752FB5"/>
    <w:rsid w:val="6CF96A10"/>
    <w:rsid w:val="73DE28F4"/>
    <w:rsid w:val="76C23869"/>
    <w:rsid w:val="D557133F"/>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0">
    <w:name w:val="Title"/>
    <w:qFormat/>
    <w:uiPriority w:val="0"/>
    <w:rPr>
      <w:rFonts w:asciiTheme="minorHAnsi" w:hAnsiTheme="minorHAnsi" w:eastAsiaTheme="minorEastAsia" w:cstheme="minorBidi"/>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2160</Words>
  <Characters>2252</Characters>
  <TotalTime>30</TotalTime>
  <ScaleCrop>false</ScaleCrop>
  <LinksUpToDate>false</LinksUpToDate>
  <CharactersWithSpaces>2264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2026-10-26T10:24:00Z</dcterms:created>
  <dc:creator>Un-named</dc:creator>
  <cp:lastModifiedBy>李江丹</cp:lastModifiedBy>
  <dcterms:modified xsi:type="dcterms:W3CDTF">2026-11-04T02:26:04Z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ECD14300C85A519CDC54E16A231A87DF_43</vt:lpwstr>
  </property>
  <property fmtid="{D5CDD505-2E9C-101B-9397-08002B2CF9AE}" pid="4" name="KSOTemplateDocerSaveRecord">
    <vt:lpwstr>eyJoZGlkIjoiMDMwMzNhZjI4MjFhY2VkNzNiOWI1ZGIwZTljMzQwZTEiLCJ1c2VySWQiOiIxNzA3MDk3MDQ0In0=</vt:lpwstr>
  </property>
</Properties>
</file>